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A5826" w:rsidRDefault="00AA5826">
      <w:pPr>
        <w:pStyle w:val="Default"/>
        <w:spacing w:before="0" w:line="240" w:lineRule="auto"/>
        <w:rPr>
          <w:rFonts w:ascii="Times New Roman" w:eastAsia="Times New Roman" w:hAnsi="Times New Roman" w:cs="Times New Roman"/>
          <w:color w:val="0E101A"/>
        </w:rPr>
      </w:pPr>
    </w:p>
    <w:p w14:paraId="2C225F63" w14:textId="77777777" w:rsidR="00AA5826" w:rsidRDefault="00910327">
      <w:pPr>
        <w:pStyle w:val="Default"/>
        <w:spacing w:before="0" w:line="240" w:lineRule="auto"/>
        <w:rPr>
          <w:rFonts w:ascii="Times New Roman" w:eastAsia="Times New Roman" w:hAnsi="Times New Roman" w:cs="Times New Roman"/>
          <w:b/>
          <w:bCs/>
          <w:color w:val="0E101A"/>
        </w:rPr>
      </w:pPr>
      <w:r>
        <w:rPr>
          <w:rFonts w:ascii="Times New Roman" w:hAnsi="Times New Roman"/>
          <w:b/>
          <w:bCs/>
          <w:color w:val="0E101A"/>
        </w:rPr>
        <w:t xml:space="preserve">Guidelines for Public Policy Considerations in Building Standards: Safe Buildings are a </w:t>
      </w:r>
    </w:p>
    <w:p w14:paraId="0A37501D" w14:textId="77777777" w:rsidR="00AA5826" w:rsidRDefault="00AA5826">
      <w:pPr>
        <w:pStyle w:val="Default"/>
        <w:spacing w:before="0" w:line="240" w:lineRule="auto"/>
        <w:rPr>
          <w:rFonts w:ascii="Times New Roman" w:eastAsia="Times New Roman" w:hAnsi="Times New Roman" w:cs="Times New Roman"/>
          <w:b/>
          <w:bCs/>
          <w:color w:val="0E101A"/>
        </w:rPr>
      </w:pPr>
    </w:p>
    <w:p w14:paraId="6416C3A5" w14:textId="77777777" w:rsidR="00AA5826" w:rsidRDefault="00910327">
      <w:pPr>
        <w:pStyle w:val="Default"/>
        <w:spacing w:before="0" w:line="240" w:lineRule="auto"/>
        <w:rPr>
          <w:rFonts w:ascii="Times New Roman" w:eastAsia="Times New Roman" w:hAnsi="Times New Roman" w:cs="Times New Roman"/>
          <w:b/>
          <w:bCs/>
          <w:color w:val="0E101A"/>
        </w:rPr>
      </w:pPr>
      <w:r>
        <w:rPr>
          <w:rFonts w:ascii="Times New Roman" w:hAnsi="Times New Roman"/>
          <w:b/>
          <w:bCs/>
          <w:color w:val="0E101A"/>
        </w:rPr>
        <w:t>Human Right</w:t>
      </w:r>
    </w:p>
    <w:p w14:paraId="5DAB6C7B" w14:textId="77777777" w:rsidR="00AA5826" w:rsidRDefault="00AA5826">
      <w:pPr>
        <w:pStyle w:val="Default"/>
        <w:spacing w:before="0" w:line="240" w:lineRule="auto"/>
        <w:rPr>
          <w:rFonts w:ascii="Times New Roman" w:eastAsia="Times New Roman" w:hAnsi="Times New Roman" w:cs="Times New Roman"/>
          <w:color w:val="0E101A"/>
        </w:rPr>
      </w:pPr>
    </w:p>
    <w:p w14:paraId="02EB378F" w14:textId="77777777" w:rsidR="00AA5826" w:rsidRDefault="00AA5826">
      <w:pPr>
        <w:pStyle w:val="Default"/>
        <w:spacing w:before="0" w:line="240" w:lineRule="auto"/>
        <w:rPr>
          <w:rFonts w:ascii="Times New Roman" w:eastAsia="Times New Roman" w:hAnsi="Times New Roman" w:cs="Times New Roman"/>
          <w:b/>
          <w:bCs/>
          <w:color w:val="0E101A"/>
        </w:rPr>
      </w:pPr>
    </w:p>
    <w:p w14:paraId="37AF8AC0"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hAnsi="Times New Roman"/>
          <w:b/>
          <w:bCs/>
          <w:color w:val="0E101A"/>
        </w:rPr>
        <w:t>Ritchie C. Shoemaker MD</w:t>
      </w:r>
      <w:r>
        <w:rPr>
          <w:rFonts w:ascii="Times New Roman" w:hAnsi="Times New Roman"/>
          <w:color w:val="0E101A"/>
        </w:rPr>
        <w:t> </w:t>
      </w:r>
    </w:p>
    <w:p w14:paraId="6A05A809" w14:textId="77777777" w:rsidR="00AA5826" w:rsidRDefault="00AA5826">
      <w:pPr>
        <w:pStyle w:val="Default"/>
        <w:spacing w:before="0" w:line="240" w:lineRule="auto"/>
        <w:rPr>
          <w:rFonts w:ascii="Times New Roman" w:eastAsia="Times New Roman" w:hAnsi="Times New Roman" w:cs="Times New Roman"/>
          <w:color w:val="0E101A"/>
        </w:rPr>
      </w:pPr>
    </w:p>
    <w:p w14:paraId="327AAEA9"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hAnsi="Times New Roman"/>
          <w:b/>
          <w:bCs/>
          <w:color w:val="0E101A"/>
        </w:rPr>
        <w:t>Medical Director, Center for Research on Biotoxin Associated Illnesses</w:t>
      </w:r>
      <w:r>
        <w:rPr>
          <w:rFonts w:ascii="Times New Roman" w:hAnsi="Times New Roman"/>
          <w:color w:val="0E101A"/>
        </w:rPr>
        <w:t> </w:t>
      </w:r>
    </w:p>
    <w:p w14:paraId="5A39BBE3" w14:textId="77777777" w:rsidR="00AA5826" w:rsidRDefault="00AA5826">
      <w:pPr>
        <w:pStyle w:val="Default"/>
        <w:spacing w:before="0" w:line="240" w:lineRule="auto"/>
        <w:rPr>
          <w:rFonts w:ascii="Times New Roman" w:eastAsia="Times New Roman" w:hAnsi="Times New Roman" w:cs="Times New Roman"/>
          <w:color w:val="0E101A"/>
        </w:rPr>
      </w:pPr>
    </w:p>
    <w:p w14:paraId="2D8DF407"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hAnsi="Times New Roman"/>
          <w:b/>
          <w:bCs/>
          <w:color w:val="0E101A"/>
          <w:lang w:val="da-DK"/>
        </w:rPr>
        <w:t>David Lark</w:t>
      </w:r>
      <w:r>
        <w:rPr>
          <w:rFonts w:ascii="Times New Roman" w:hAnsi="Times New Roman"/>
          <w:color w:val="0E101A"/>
        </w:rPr>
        <w:t> </w:t>
      </w:r>
    </w:p>
    <w:p w14:paraId="41C8F396" w14:textId="77777777" w:rsidR="00AA5826" w:rsidRDefault="00AA5826">
      <w:pPr>
        <w:pStyle w:val="Default"/>
        <w:spacing w:before="0" w:line="240" w:lineRule="auto"/>
        <w:rPr>
          <w:rFonts w:ascii="Times New Roman" w:eastAsia="Times New Roman" w:hAnsi="Times New Roman" w:cs="Times New Roman"/>
          <w:color w:val="0E101A"/>
        </w:rPr>
      </w:pPr>
    </w:p>
    <w:p w14:paraId="780AFF91"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hAnsi="Times New Roman"/>
          <w:b/>
          <w:bCs/>
          <w:color w:val="0E101A"/>
        </w:rPr>
        <w:t>Mycologist, MouldLabs, Australia</w:t>
      </w:r>
      <w:r>
        <w:rPr>
          <w:rFonts w:ascii="Times New Roman" w:hAnsi="Times New Roman"/>
          <w:color w:val="0E101A"/>
        </w:rPr>
        <w:t> </w:t>
      </w:r>
    </w:p>
    <w:p w14:paraId="72A3D3EC" w14:textId="77777777" w:rsidR="00AA5826" w:rsidRDefault="00AA5826">
      <w:pPr>
        <w:pStyle w:val="Default"/>
        <w:spacing w:before="0" w:line="240" w:lineRule="auto"/>
        <w:rPr>
          <w:rFonts w:ascii="Times New Roman" w:eastAsia="Times New Roman" w:hAnsi="Times New Roman" w:cs="Times New Roman"/>
          <w:color w:val="0E101A"/>
        </w:rPr>
      </w:pPr>
    </w:p>
    <w:p w14:paraId="0F365D98"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hAnsi="Times New Roman"/>
          <w:b/>
          <w:bCs/>
          <w:color w:val="0E101A"/>
        </w:rPr>
        <w:t>James C. Ryan, PhD</w:t>
      </w:r>
      <w:r>
        <w:rPr>
          <w:rFonts w:ascii="Times New Roman" w:hAnsi="Times New Roman"/>
          <w:color w:val="0E101A"/>
        </w:rPr>
        <w:t> </w:t>
      </w:r>
    </w:p>
    <w:p w14:paraId="0D0B940D" w14:textId="77777777" w:rsidR="00AA5826" w:rsidRDefault="00AA5826">
      <w:pPr>
        <w:pStyle w:val="Default"/>
        <w:spacing w:before="0" w:line="240" w:lineRule="auto"/>
        <w:rPr>
          <w:rFonts w:ascii="Times New Roman" w:eastAsia="Times New Roman" w:hAnsi="Times New Roman" w:cs="Times New Roman"/>
          <w:color w:val="0E101A"/>
        </w:rPr>
      </w:pPr>
    </w:p>
    <w:p w14:paraId="4C80B849" w14:textId="3C9BDB07" w:rsidR="00AA5826" w:rsidRDefault="00910327">
      <w:pPr>
        <w:pStyle w:val="Default"/>
        <w:spacing w:before="0" w:line="240" w:lineRule="auto"/>
        <w:rPr>
          <w:rFonts w:ascii="Times New Roman" w:hAnsi="Times New Roman"/>
          <w:color w:val="0E101A"/>
        </w:rPr>
      </w:pPr>
      <w:r>
        <w:rPr>
          <w:rFonts w:ascii="Times New Roman" w:hAnsi="Times New Roman"/>
          <w:b/>
          <w:bCs/>
          <w:color w:val="0E101A"/>
        </w:rPr>
        <w:t>Chief Science Officer, ProgeneDx</w:t>
      </w:r>
      <w:r>
        <w:rPr>
          <w:rFonts w:ascii="Times New Roman" w:hAnsi="Times New Roman"/>
          <w:color w:val="0E101A"/>
        </w:rPr>
        <w:t> </w:t>
      </w:r>
    </w:p>
    <w:p w14:paraId="422E6F3D" w14:textId="0A6E4CE2" w:rsidR="00343E7E" w:rsidRDefault="00343E7E">
      <w:pPr>
        <w:pStyle w:val="Default"/>
        <w:spacing w:before="0" w:line="240" w:lineRule="auto"/>
        <w:rPr>
          <w:rFonts w:ascii="Times New Roman" w:hAnsi="Times New Roman"/>
          <w:color w:val="0E101A"/>
        </w:rPr>
      </w:pPr>
    </w:p>
    <w:p w14:paraId="1E1F3D4B" w14:textId="77777777" w:rsidR="00343E7E" w:rsidRPr="00343E7E" w:rsidRDefault="00343E7E" w:rsidP="00343E7E">
      <w:pPr>
        <w:pStyle w:val="Default"/>
        <w:rPr>
          <w:rFonts w:ascii="Times New Roman" w:eastAsia="Times New Roman" w:hAnsi="Times New Roman" w:cs="Times New Roman"/>
          <w:b/>
          <w:bCs/>
          <w:color w:val="494A4C"/>
        </w:rPr>
      </w:pPr>
      <w:r w:rsidRPr="00343E7E">
        <w:rPr>
          <w:rFonts w:ascii="Times New Roman" w:hAnsi="Times New Roman"/>
          <w:b/>
          <w:bCs/>
          <w:color w:val="494A4C"/>
        </w:rPr>
        <w:t>April Vukelic D.O.</w:t>
      </w:r>
    </w:p>
    <w:p w14:paraId="2F7F2350" w14:textId="77777777" w:rsidR="00343E7E" w:rsidRDefault="007B620F" w:rsidP="00343E7E">
      <w:pPr>
        <w:pStyle w:val="Default"/>
        <w:rPr>
          <w:rFonts w:ascii="Times New Roman" w:eastAsia="Times New Roman" w:hAnsi="Times New Roman" w:cs="Times New Roman"/>
          <w:b/>
          <w:bCs/>
          <w:color w:val="494A4C"/>
        </w:rPr>
      </w:pPr>
      <w:hyperlink r:id="rId7" w:history="1">
        <w:r w:rsidR="00343E7E">
          <w:rPr>
            <w:rStyle w:val="Hyperlink0"/>
          </w:rPr>
          <w:t>https://orcid.org/0000-0002-7212-4788</w:t>
        </w:r>
      </w:hyperlink>
    </w:p>
    <w:p w14:paraId="448825C9" w14:textId="6C30905D" w:rsidR="00343E7E" w:rsidRDefault="00343E7E">
      <w:pPr>
        <w:pStyle w:val="Default"/>
        <w:spacing w:before="0" w:line="240" w:lineRule="auto"/>
        <w:rPr>
          <w:rFonts w:ascii="Times New Roman" w:hAnsi="Times New Roman"/>
          <w:color w:val="0E101A"/>
        </w:rPr>
      </w:pPr>
    </w:p>
    <w:p w14:paraId="627EFC24" w14:textId="77777777" w:rsidR="00343E7E" w:rsidRDefault="00343E7E">
      <w:pPr>
        <w:pStyle w:val="Default"/>
        <w:spacing w:before="0" w:line="240" w:lineRule="auto"/>
        <w:rPr>
          <w:rFonts w:ascii="Times New Roman" w:hAnsi="Times New Roman"/>
          <w:color w:val="0E101A"/>
        </w:rPr>
      </w:pPr>
    </w:p>
    <w:p w14:paraId="2D298B0F" w14:textId="03EBBC08" w:rsidR="00343E7E" w:rsidRDefault="00343E7E">
      <w:pPr>
        <w:pStyle w:val="Default"/>
        <w:spacing w:before="0" w:line="240" w:lineRule="auto"/>
        <w:rPr>
          <w:rFonts w:ascii="Times New Roman" w:eastAsia="Times New Roman" w:hAnsi="Times New Roman" w:cs="Times New Roman"/>
          <w:color w:val="0E101A"/>
        </w:rPr>
      </w:pPr>
    </w:p>
    <w:p w14:paraId="4FBAAEB7" w14:textId="2D51E6A9" w:rsidR="00AA5826" w:rsidRDefault="00AA5826" w:rsidP="6DB205A6">
      <w:pPr>
        <w:pStyle w:val="Default"/>
        <w:spacing w:before="0" w:line="240" w:lineRule="auto"/>
        <w:rPr>
          <w:rFonts w:ascii="Times New Roman" w:hAnsi="Times New Roman"/>
          <w:color w:val="FF2600"/>
        </w:rPr>
      </w:pPr>
    </w:p>
    <w:p w14:paraId="14A4F2A1" w14:textId="1D0D7B68" w:rsidR="00AA5826" w:rsidRDefault="00910327">
      <w:pPr>
        <w:pStyle w:val="Default"/>
        <w:spacing w:before="0" w:line="240" w:lineRule="auto"/>
        <w:rPr>
          <w:rFonts w:ascii="Times New Roman" w:eastAsia="Times New Roman" w:hAnsi="Times New Roman" w:cs="Times New Roman"/>
          <w:color w:val="FF2600"/>
        </w:rPr>
      </w:pPr>
      <w:r>
        <w:rPr>
          <w:rFonts w:ascii="Times New Roman" w:hAnsi="Times New Roman"/>
          <w:color w:val="FF2600"/>
        </w:rPr>
        <w:t xml:space="preserve">Insert </w:t>
      </w:r>
      <w:proofErr w:type="spellStart"/>
      <w:r>
        <w:rPr>
          <w:rFonts w:ascii="Times New Roman" w:hAnsi="Times New Roman"/>
          <w:color w:val="FF2600"/>
        </w:rPr>
        <w:t>Orcid</w:t>
      </w:r>
      <w:proofErr w:type="spellEnd"/>
      <w:r>
        <w:rPr>
          <w:rFonts w:ascii="Times New Roman" w:hAnsi="Times New Roman"/>
          <w:color w:val="FF2600"/>
        </w:rPr>
        <w:t># here</w:t>
      </w:r>
    </w:p>
    <w:p w14:paraId="0E27B00A" w14:textId="77777777" w:rsidR="00AA5826" w:rsidRDefault="00AA5826">
      <w:pPr>
        <w:pStyle w:val="Default"/>
        <w:spacing w:before="0" w:line="240" w:lineRule="auto"/>
        <w:rPr>
          <w:rFonts w:ascii="Times New Roman" w:eastAsia="Times New Roman" w:hAnsi="Times New Roman" w:cs="Times New Roman"/>
          <w:color w:val="FF2600"/>
        </w:rPr>
      </w:pPr>
    </w:p>
    <w:p w14:paraId="60061E4C" w14:textId="77777777" w:rsidR="00AA5826" w:rsidRDefault="00AA5826">
      <w:pPr>
        <w:pStyle w:val="Default"/>
        <w:spacing w:before="0" w:line="240" w:lineRule="auto"/>
        <w:rPr>
          <w:rFonts w:ascii="Times New Roman" w:eastAsia="Times New Roman" w:hAnsi="Times New Roman" w:cs="Times New Roman"/>
          <w:color w:val="0E101A"/>
        </w:rPr>
      </w:pPr>
    </w:p>
    <w:p w14:paraId="406425CA"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hAnsi="Times New Roman"/>
          <w:b/>
          <w:bCs/>
          <w:color w:val="0E101A"/>
        </w:rPr>
        <w:t>Contents</w:t>
      </w:r>
    </w:p>
    <w:p w14:paraId="44EAFD9C" w14:textId="77777777" w:rsidR="00AA5826" w:rsidRDefault="00AA5826">
      <w:pPr>
        <w:pStyle w:val="Default"/>
        <w:spacing w:before="0" w:line="240" w:lineRule="auto"/>
        <w:rPr>
          <w:rFonts w:ascii="Times New Roman" w:eastAsia="Times New Roman" w:hAnsi="Times New Roman" w:cs="Times New Roman"/>
          <w:color w:val="0E101A"/>
        </w:rPr>
      </w:pPr>
    </w:p>
    <w:p w14:paraId="70AA83E1" w14:textId="77777777" w:rsidR="00AA5826" w:rsidRDefault="00910327" w:rsidP="6DB205A6">
      <w:pPr>
        <w:pStyle w:val="Default"/>
        <w:spacing w:before="0" w:line="240" w:lineRule="auto"/>
        <w:ind w:firstLine="720"/>
        <w:rPr>
          <w:rFonts w:ascii="Times New Roman" w:hAnsi="Times New Roman"/>
          <w:b/>
          <w:bCs/>
          <w:color w:val="0E101A"/>
        </w:rPr>
      </w:pPr>
      <w:r>
        <w:rPr>
          <w:rFonts w:ascii="Times New Roman" w:hAnsi="Times New Roman"/>
          <w:b/>
          <w:bCs/>
          <w:color w:val="0E101A"/>
        </w:rPr>
        <w:t>1. What is a water-damaged building?</w:t>
      </w:r>
    </w:p>
    <w:p w14:paraId="4B94D5A5" w14:textId="77777777" w:rsidR="00AA5826" w:rsidRDefault="00AA5826">
      <w:pPr>
        <w:pStyle w:val="Default"/>
        <w:spacing w:before="0" w:line="240" w:lineRule="auto"/>
        <w:rPr>
          <w:rFonts w:ascii="Times New Roman" w:eastAsia="Times New Roman" w:hAnsi="Times New Roman" w:cs="Times New Roman"/>
          <w:color w:val="0E101A"/>
        </w:rPr>
      </w:pPr>
    </w:p>
    <w:p w14:paraId="0419F1CF"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hAnsi="Times New Roman"/>
          <w:b/>
          <w:bCs/>
          <w:color w:val="0E101A"/>
        </w:rPr>
        <w:t>2. Water activity</w:t>
      </w:r>
    </w:p>
    <w:p w14:paraId="3DEEC669" w14:textId="77777777" w:rsidR="00AA5826" w:rsidRDefault="00AA5826">
      <w:pPr>
        <w:pStyle w:val="Default"/>
        <w:spacing w:before="0" w:line="240" w:lineRule="auto"/>
        <w:rPr>
          <w:rFonts w:ascii="Times New Roman" w:eastAsia="Times New Roman" w:hAnsi="Times New Roman" w:cs="Times New Roman"/>
          <w:color w:val="0E101A"/>
        </w:rPr>
      </w:pPr>
    </w:p>
    <w:p w14:paraId="32152E39"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hAnsi="Times New Roman"/>
          <w:b/>
          <w:bCs/>
          <w:color w:val="0E101A"/>
        </w:rPr>
        <w:t>3. How does water get inside? </w:t>
      </w:r>
    </w:p>
    <w:p w14:paraId="3656B9AB"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p>
    <w:p w14:paraId="1F9BE0FB"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eastAsia="Times New Roman" w:hAnsi="Times New Roman" w:cs="Times New Roman"/>
          <w:color w:val="0E101A"/>
        </w:rPr>
        <w:tab/>
      </w:r>
      <w:r>
        <w:rPr>
          <w:rFonts w:ascii="Times New Roman" w:hAnsi="Times New Roman"/>
          <w:color w:val="0E101A"/>
          <w:lang w:val="nl-NL"/>
        </w:rPr>
        <w:t>3.1 Roofs</w:t>
      </w:r>
    </w:p>
    <w:p w14:paraId="45FB0818"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p>
    <w:p w14:paraId="58F504CC"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eastAsia="Times New Roman" w:hAnsi="Times New Roman" w:cs="Times New Roman"/>
          <w:color w:val="0E101A"/>
        </w:rPr>
        <w:tab/>
      </w:r>
      <w:r>
        <w:rPr>
          <w:rFonts w:ascii="Times New Roman" w:hAnsi="Times New Roman"/>
          <w:color w:val="0E101A"/>
          <w:lang w:val="it-IT"/>
        </w:rPr>
        <w:t>3.2 Windows</w:t>
      </w:r>
    </w:p>
    <w:p w14:paraId="049F31CB"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p>
    <w:p w14:paraId="73405D82"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eastAsia="Times New Roman" w:hAnsi="Times New Roman" w:cs="Times New Roman"/>
          <w:color w:val="0E101A"/>
        </w:rPr>
        <w:tab/>
      </w:r>
      <w:r>
        <w:rPr>
          <w:rFonts w:ascii="Times New Roman" w:hAnsi="Times New Roman"/>
          <w:color w:val="0E101A"/>
          <w:lang w:val="nl-NL"/>
        </w:rPr>
        <w:t>3.3 Doors</w:t>
      </w:r>
    </w:p>
    <w:p w14:paraId="53128261"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p>
    <w:p w14:paraId="1263FC05"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eastAsia="Times New Roman" w:hAnsi="Times New Roman" w:cs="Times New Roman"/>
          <w:color w:val="0E101A"/>
        </w:rPr>
        <w:tab/>
      </w:r>
      <w:r>
        <w:rPr>
          <w:rFonts w:ascii="Times New Roman" w:hAnsi="Times New Roman"/>
          <w:color w:val="0E101A"/>
        </w:rPr>
        <w:t>3.4 Gutters</w:t>
      </w:r>
    </w:p>
    <w:p w14:paraId="62486C05"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p>
    <w:p w14:paraId="56199D20"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eastAsia="Times New Roman" w:hAnsi="Times New Roman" w:cs="Times New Roman"/>
          <w:color w:val="0E101A"/>
        </w:rPr>
        <w:tab/>
      </w:r>
      <w:r>
        <w:rPr>
          <w:rFonts w:ascii="Times New Roman" w:hAnsi="Times New Roman"/>
          <w:color w:val="0E101A"/>
        </w:rPr>
        <w:t>3.5 Siding (Cladding)</w:t>
      </w:r>
    </w:p>
    <w:p w14:paraId="4101652C"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p>
    <w:p w14:paraId="72519BEA"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lastRenderedPageBreak/>
        <w:tab/>
      </w:r>
      <w:r>
        <w:rPr>
          <w:rFonts w:ascii="Times New Roman" w:eastAsia="Times New Roman" w:hAnsi="Times New Roman" w:cs="Times New Roman"/>
          <w:color w:val="0E101A"/>
        </w:rPr>
        <w:tab/>
      </w:r>
      <w:r>
        <w:rPr>
          <w:rFonts w:ascii="Times New Roman" w:hAnsi="Times New Roman"/>
          <w:color w:val="0E101A"/>
        </w:rPr>
        <w:t>3.6 Vinyl Siding</w:t>
      </w:r>
    </w:p>
    <w:p w14:paraId="4B99056E"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p>
    <w:p w14:paraId="039F4CC3"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eastAsia="Times New Roman" w:hAnsi="Times New Roman" w:cs="Times New Roman"/>
          <w:color w:val="0E101A"/>
        </w:rPr>
        <w:tab/>
      </w:r>
      <w:r>
        <w:rPr>
          <w:rFonts w:ascii="Times New Roman" w:hAnsi="Times New Roman"/>
          <w:color w:val="0E101A"/>
        </w:rPr>
        <w:t>3.7 Crawl Spaces</w:t>
      </w:r>
    </w:p>
    <w:p w14:paraId="1299C43A"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p>
    <w:p w14:paraId="2A82EAD5"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eastAsia="Times New Roman" w:hAnsi="Times New Roman" w:cs="Times New Roman"/>
          <w:color w:val="0E101A"/>
        </w:rPr>
        <w:tab/>
      </w:r>
      <w:r>
        <w:rPr>
          <w:rFonts w:ascii="Times New Roman" w:hAnsi="Times New Roman"/>
          <w:color w:val="0E101A"/>
          <w:lang w:val="fr-FR"/>
        </w:rPr>
        <w:t xml:space="preserve">3.8 </w:t>
      </w:r>
      <w:proofErr w:type="spellStart"/>
      <w:r>
        <w:rPr>
          <w:rFonts w:ascii="Times New Roman" w:hAnsi="Times New Roman"/>
          <w:color w:val="0E101A"/>
          <w:lang w:val="fr-FR"/>
        </w:rPr>
        <w:t>Internal</w:t>
      </w:r>
      <w:proofErr w:type="spellEnd"/>
      <w:r>
        <w:rPr>
          <w:rFonts w:ascii="Times New Roman" w:hAnsi="Times New Roman"/>
          <w:color w:val="0E101A"/>
          <w:lang w:val="fr-FR"/>
        </w:rPr>
        <w:t xml:space="preserve"> Sources</w:t>
      </w:r>
    </w:p>
    <w:p w14:paraId="4DDBEF00"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p>
    <w:p w14:paraId="1E866F14"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eastAsia="Times New Roman" w:hAnsi="Times New Roman" w:cs="Times New Roman"/>
          <w:color w:val="0E101A"/>
        </w:rPr>
        <w:tab/>
      </w:r>
      <w:r>
        <w:rPr>
          <w:rFonts w:ascii="Times New Roman" w:hAnsi="Times New Roman"/>
          <w:color w:val="0E101A"/>
        </w:rPr>
        <w:t>3.9 Cooking</w:t>
      </w:r>
    </w:p>
    <w:p w14:paraId="3461D779"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p>
    <w:p w14:paraId="0933F4A5"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eastAsia="Times New Roman" w:hAnsi="Times New Roman" w:cs="Times New Roman"/>
          <w:color w:val="0E101A"/>
        </w:rPr>
        <w:tab/>
      </w:r>
      <w:r>
        <w:rPr>
          <w:rFonts w:ascii="Times New Roman" w:hAnsi="Times New Roman"/>
          <w:color w:val="0E101A"/>
          <w:lang w:val="fr-FR"/>
        </w:rPr>
        <w:t>3.10 Human Sources</w:t>
      </w:r>
    </w:p>
    <w:p w14:paraId="3CF2D8B6"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p>
    <w:p w14:paraId="0D103426"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eastAsia="Times New Roman" w:hAnsi="Times New Roman" w:cs="Times New Roman"/>
          <w:color w:val="0E101A"/>
        </w:rPr>
        <w:tab/>
      </w:r>
      <w:r>
        <w:rPr>
          <w:rFonts w:ascii="Times New Roman" w:hAnsi="Times New Roman"/>
          <w:color w:val="0E101A"/>
        </w:rPr>
        <w:t>3.11 Decks</w:t>
      </w:r>
    </w:p>
    <w:p w14:paraId="0FB78278"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p>
    <w:p w14:paraId="4CFD955F"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eastAsia="Times New Roman" w:hAnsi="Times New Roman" w:cs="Times New Roman"/>
          <w:color w:val="0E101A"/>
        </w:rPr>
        <w:tab/>
      </w:r>
      <w:r>
        <w:rPr>
          <w:rFonts w:ascii="Times New Roman" w:hAnsi="Times New Roman"/>
          <w:color w:val="0E101A"/>
        </w:rPr>
        <w:t>3.12 Stilts</w:t>
      </w:r>
    </w:p>
    <w:p w14:paraId="1FC39945" w14:textId="77777777" w:rsidR="00AA5826" w:rsidRDefault="00910327">
      <w:pPr>
        <w:pStyle w:val="Default"/>
        <w:spacing w:before="0" w:line="240" w:lineRule="auto"/>
        <w:rPr>
          <w:rFonts w:ascii="Times New Roman" w:eastAsia="Times New Roman" w:hAnsi="Times New Roman" w:cs="Times New Roman"/>
          <w:b/>
          <w:bCs/>
          <w:color w:val="0E101A"/>
        </w:rPr>
      </w:pPr>
      <w:r>
        <w:rPr>
          <w:rFonts w:ascii="Times New Roman" w:eastAsia="Times New Roman" w:hAnsi="Times New Roman" w:cs="Times New Roman"/>
          <w:b/>
          <w:bCs/>
          <w:color w:val="0E101A"/>
        </w:rPr>
        <w:tab/>
      </w:r>
    </w:p>
    <w:p w14:paraId="67D7BE23"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eastAsia="Times New Roman" w:hAnsi="Times New Roman" w:cs="Times New Roman"/>
          <w:b/>
          <w:bCs/>
          <w:color w:val="0E101A"/>
        </w:rPr>
        <w:tab/>
      </w:r>
      <w:r>
        <w:rPr>
          <w:rFonts w:ascii="Times New Roman" w:hAnsi="Times New Roman"/>
          <w:b/>
          <w:bCs/>
          <w:color w:val="0E101A"/>
        </w:rPr>
        <w:t>4. Sequential activation of innate immune effects (SAIIE): defining causation  </w:t>
      </w:r>
    </w:p>
    <w:p w14:paraId="0562CB0E" w14:textId="77777777" w:rsidR="00AA5826" w:rsidRDefault="00AA5826">
      <w:pPr>
        <w:pStyle w:val="Default"/>
        <w:spacing w:before="0" w:line="240" w:lineRule="auto"/>
        <w:rPr>
          <w:rFonts w:ascii="Times New Roman" w:eastAsia="Times New Roman" w:hAnsi="Times New Roman" w:cs="Times New Roman"/>
          <w:color w:val="0E101A"/>
        </w:rPr>
      </w:pPr>
    </w:p>
    <w:p w14:paraId="2934E606"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hAnsi="Times New Roman"/>
          <w:b/>
          <w:bCs/>
          <w:color w:val="0E101A"/>
        </w:rPr>
        <w:t>5. Perspective on the treatment of WDB</w:t>
      </w:r>
    </w:p>
    <w:p w14:paraId="34CE0A41" w14:textId="77777777" w:rsidR="00AA5826" w:rsidRDefault="00AA5826">
      <w:pPr>
        <w:pStyle w:val="Default"/>
        <w:spacing w:before="0" w:line="240" w:lineRule="auto"/>
        <w:rPr>
          <w:rFonts w:ascii="Times New Roman" w:eastAsia="Times New Roman" w:hAnsi="Times New Roman" w:cs="Times New Roman"/>
          <w:color w:val="0E101A"/>
        </w:rPr>
      </w:pPr>
    </w:p>
    <w:p w14:paraId="5D7A1CB3"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hAnsi="Times New Roman"/>
          <w:b/>
          <w:bCs/>
          <w:color w:val="0E101A"/>
          <w:lang w:val="fr-FR"/>
        </w:rPr>
        <w:t>6. Transcriptomics</w:t>
      </w:r>
    </w:p>
    <w:p w14:paraId="62EBF3C5" w14:textId="77777777" w:rsidR="00AA5826" w:rsidRDefault="00AA5826">
      <w:pPr>
        <w:pStyle w:val="Default"/>
        <w:spacing w:before="0" w:line="240" w:lineRule="auto"/>
        <w:rPr>
          <w:rFonts w:ascii="Times New Roman" w:eastAsia="Times New Roman" w:hAnsi="Times New Roman" w:cs="Times New Roman"/>
          <w:color w:val="0E101A"/>
        </w:rPr>
      </w:pPr>
    </w:p>
    <w:p w14:paraId="77D0C5E8"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hAnsi="Times New Roman"/>
          <w:b/>
          <w:bCs/>
          <w:color w:val="0E101A"/>
        </w:rPr>
        <w:t>7. For the future</w:t>
      </w:r>
    </w:p>
    <w:p w14:paraId="6D98A12B" w14:textId="77777777" w:rsidR="00AA5826" w:rsidRDefault="00AA5826">
      <w:pPr>
        <w:pStyle w:val="Default"/>
        <w:spacing w:before="0" w:line="240" w:lineRule="auto"/>
        <w:rPr>
          <w:rFonts w:ascii="Times New Roman" w:eastAsia="Times New Roman" w:hAnsi="Times New Roman" w:cs="Times New Roman"/>
          <w:color w:val="0E101A"/>
        </w:rPr>
      </w:pPr>
    </w:p>
    <w:p w14:paraId="45B24124"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hAnsi="Times New Roman"/>
          <w:b/>
          <w:bCs/>
          <w:color w:val="0E101A"/>
        </w:rPr>
        <w:t>8. Summary</w:t>
      </w:r>
    </w:p>
    <w:p w14:paraId="2946DB82" w14:textId="77777777" w:rsidR="00AA5826" w:rsidRDefault="00AA5826">
      <w:pPr>
        <w:pStyle w:val="Default"/>
        <w:spacing w:before="0" w:line="240" w:lineRule="auto"/>
        <w:rPr>
          <w:rFonts w:ascii="Times New Roman" w:eastAsia="Times New Roman" w:hAnsi="Times New Roman" w:cs="Times New Roman"/>
          <w:color w:val="0E101A"/>
        </w:rPr>
      </w:pPr>
    </w:p>
    <w:p w14:paraId="6E7BEAA2" w14:textId="77777777" w:rsidR="00AA5826" w:rsidRDefault="00910327">
      <w:pPr>
        <w:pStyle w:val="Default"/>
        <w:spacing w:before="0" w:line="240" w:lineRule="auto"/>
        <w:rPr>
          <w:rFonts w:ascii="Times New Roman" w:eastAsia="Times New Roman" w:hAnsi="Times New Roman" w:cs="Times New Roman"/>
          <w:color w:val="0E101A"/>
        </w:rPr>
      </w:pPr>
      <w:r>
        <w:rPr>
          <w:rFonts w:ascii="Times New Roman" w:hAnsi="Times New Roman"/>
          <w:color w:val="0E101A"/>
        </w:rPr>
        <w:t> </w:t>
      </w:r>
    </w:p>
    <w:p w14:paraId="110FFD37" w14:textId="2658E030" w:rsidR="00AA5826" w:rsidRDefault="00AA5826">
      <w:pPr>
        <w:pStyle w:val="Default"/>
        <w:spacing w:before="0" w:line="240" w:lineRule="auto"/>
      </w:pPr>
    </w:p>
    <w:p w14:paraId="6AD164A9"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b/>
          <w:bCs/>
          <w:color w:val="0E101A"/>
        </w:rPr>
        <w:t>1. What is a water-damaged building?</w:t>
      </w:r>
      <w:r>
        <w:rPr>
          <w:rFonts w:ascii="Times New Roman" w:hAnsi="Times New Roman"/>
          <w:color w:val="0E101A"/>
        </w:rPr>
        <w:t>  </w:t>
      </w:r>
    </w:p>
    <w:p w14:paraId="63E4A9CD"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1330FF06"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Exposure to damp indoor environments is not healthy for anyone. Furthermore, if one is ill with CIRS, removal from exposure is the priority. These water-damaged buildings (WDBs) are everywhere. The most neglected expense for the health of buildings is maintenance. These buildings are bought, sold, and rented to unwitting tenants every day. WDBs could be someone's place of work, grocery store, school, university, or government building. WDBs may pass inspections, be "up to code," and receive "passable" spore counts. However, public policies and standard practices do not protect those genetically vulnerable to biotoxins. With sequential gene </w:t>
      </w:r>
      <w:r>
        <w:rPr>
          <w:rFonts w:ascii="Times New Roman" w:hAnsi="Times New Roman"/>
          <w:color w:val="0E101A"/>
        </w:rPr>
        <w:lastRenderedPageBreak/>
        <w:t>activation, one can see these buildings are the causation of illness. To people with CIRS, these buildings may be as inaccessible as stairs to someone in a wheelchair.</w:t>
      </w:r>
    </w:p>
    <w:p w14:paraId="4D17554C"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3F414768"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As many as 50% of our public buildings are water damaged. What makes water-damaged buildings unsafe is the growth of a group of single-cell microbes. These microbes produce compounds that can cause inflammation (called inflammagens). Some of these may be toxins made by bacteria (endotoxins or exotoxins), fungi (mycotoxins), mycobacteria (mycolactones), and actinobacteria. In addition, tiny cell wall fragments of fungi (beta glucans and mannans) and fungal and bacterial enzymes/proteins (hemolysins, spirocyclic drimanes, and proteinases) cause inflammation. We have not yet adequately defined a pathogenic role for microbial volatile organic compounds (mVOCs), but consensus opinion supports mVOCs having some role in creating adverse human health effects. Each of these non-living elements acts synergistically, one with another. </w:t>
      </w:r>
    </w:p>
    <w:p w14:paraId="6B699379" w14:textId="4A974019" w:rsidR="00AA5826" w:rsidRDefault="00AA5826">
      <w:pPr>
        <w:pStyle w:val="Default"/>
        <w:spacing w:before="0" w:line="480" w:lineRule="auto"/>
      </w:pPr>
    </w:p>
    <w:p w14:paraId="7F7800FA"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Remember that musty smells, usually stemming from geosmin made by actinobacteria and occasionally by bacteria, are often used to support a diagnosis of a </w:t>
      </w:r>
      <w:r>
        <w:rPr>
          <w:rFonts w:ascii="Times New Roman" w:hAnsi="Times New Roman"/>
          <w:i/>
          <w:iCs/>
          <w:color w:val="0E101A"/>
        </w:rPr>
        <w:t>mold</w:t>
      </w:r>
      <w:r>
        <w:rPr>
          <w:rFonts w:ascii="Times New Roman" w:hAnsi="Times New Roman"/>
          <w:color w:val="0E101A"/>
        </w:rPr>
        <w:t> problem. The use of accurate mold-specific QPCR testing is readily and inexpensively available.  </w:t>
      </w:r>
    </w:p>
    <w:p w14:paraId="3FE9F23F" w14:textId="77777777" w:rsidR="00AA5826" w:rsidRDefault="00AA5826">
      <w:pPr>
        <w:pStyle w:val="Default"/>
        <w:spacing w:before="0" w:line="480" w:lineRule="auto"/>
        <w:rPr>
          <w:rFonts w:ascii="Times New Roman" w:eastAsia="Times New Roman" w:hAnsi="Times New Roman" w:cs="Times New Roman"/>
          <w:color w:val="0E101A"/>
        </w:rPr>
      </w:pPr>
    </w:p>
    <w:p w14:paraId="09A1CD5B"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Unfortunately, some practitioners still think that air sampling has a role in the medical workup of CIRS patients. The use of air samples for diagnosis is nearly worthless because sampling air for spores, at least three microns in diameter or greater, ignores </w:t>
      </w:r>
      <w:r>
        <w:rPr>
          <w:rFonts w:ascii="Times New Roman" w:hAnsi="Times New Roman"/>
          <w:i/>
          <w:iCs/>
          <w:color w:val="0E101A"/>
        </w:rPr>
        <w:t>99.8% of the total</w:t>
      </w:r>
      <w:r>
        <w:rPr>
          <w:rFonts w:ascii="Times New Roman" w:hAnsi="Times New Roman"/>
          <w:color w:val="0E101A"/>
        </w:rPr>
        <w:t> amount of fragments that cause inflammatory responses! These fragments are so small that they pass through the spore trap devices. Spore trapping then cannot possibly be used to look for disease-causing inflammation. Do not forget that exposure to small particles, which are merely </w:t>
      </w:r>
      <w:r>
        <w:rPr>
          <w:rFonts w:ascii="Times New Roman" w:hAnsi="Times New Roman"/>
          <w:i/>
          <w:iCs/>
          <w:color w:val="0E101A"/>
          <w:lang w:val="it-IT"/>
        </w:rPr>
        <w:t>biochemicals</w:t>
      </w:r>
      <w:r>
        <w:rPr>
          <w:rFonts w:ascii="Times New Roman" w:hAnsi="Times New Roman"/>
          <w:color w:val="0E101A"/>
        </w:rPr>
        <w:t xml:space="preserve">, means that </w:t>
      </w:r>
      <w:proofErr w:type="gramStart"/>
      <w:r>
        <w:rPr>
          <w:rFonts w:ascii="Times New Roman" w:hAnsi="Times New Roman"/>
          <w:color w:val="0E101A"/>
        </w:rPr>
        <w:t>most bad</w:t>
      </w:r>
      <w:proofErr w:type="gramEnd"/>
      <w:r>
        <w:rPr>
          <w:rFonts w:ascii="Times New Roman" w:hAnsi="Times New Roman"/>
          <w:color w:val="0E101A"/>
        </w:rPr>
        <w:t xml:space="preserve"> actors in WDBs are </w:t>
      </w:r>
      <w:r>
        <w:rPr>
          <w:rFonts w:ascii="Times New Roman" w:hAnsi="Times New Roman"/>
          <w:i/>
          <w:iCs/>
          <w:color w:val="0E101A"/>
        </w:rPr>
        <w:t>not alive</w:t>
      </w:r>
      <w:r>
        <w:rPr>
          <w:rFonts w:ascii="Times New Roman" w:hAnsi="Times New Roman"/>
          <w:color w:val="0E101A"/>
        </w:rPr>
        <w:t>. Killing spores does not remediate a damp home.</w:t>
      </w:r>
    </w:p>
    <w:p w14:paraId="4F6584BE"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7BAE0450"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Spore sampling is still widely used even though it provides flawed information. Even worse than wrong-headed data generated by spore traps is the problem that occurs when people </w:t>
      </w:r>
      <w:r>
        <w:rPr>
          <w:rFonts w:ascii="Times New Roman" w:hAnsi="Times New Roman"/>
          <w:i/>
          <w:iCs/>
          <w:color w:val="0E101A"/>
        </w:rPr>
        <w:t>believe that spore trapping makes sense</w:t>
      </w:r>
      <w:r>
        <w:rPr>
          <w:rFonts w:ascii="Times New Roman" w:hAnsi="Times New Roman"/>
          <w:color w:val="0E101A"/>
        </w:rPr>
        <w:t> and that spore count results indicate something real in nature. Of note:</w:t>
      </w:r>
    </w:p>
    <w:p w14:paraId="78A00204" w14:textId="77777777" w:rsidR="00AA5826" w:rsidRDefault="00910327">
      <w:pPr>
        <w:pStyle w:val="Default"/>
        <w:numPr>
          <w:ilvl w:val="0"/>
          <w:numId w:val="5"/>
        </w:numPr>
        <w:spacing w:before="0" w:line="480" w:lineRule="auto"/>
        <w:rPr>
          <w:rFonts w:ascii="Times New Roman" w:hAnsi="Times New Roman"/>
          <w:color w:val="0E101A"/>
        </w:rPr>
      </w:pPr>
      <w:r>
        <w:rPr>
          <w:rFonts w:ascii="Times New Roman" w:hAnsi="Times New Roman"/>
          <w:color w:val="0E101A"/>
        </w:rPr>
        <w:t>Air samples performed for only 5 or 10 minutes in a single-center location in a room do not tell us what happened to bacteria or fungal spores that have</w:t>
      </w:r>
      <w:r>
        <w:rPr>
          <w:rFonts w:ascii="Times New Roman" w:hAnsi="Times New Roman"/>
          <w:i/>
          <w:iCs/>
          <w:color w:val="0E101A"/>
        </w:rPr>
        <w:t> settled</w:t>
      </w:r>
      <w:r>
        <w:rPr>
          <w:rFonts w:ascii="Times New Roman" w:hAnsi="Times New Roman"/>
          <w:color w:val="0E101A"/>
        </w:rPr>
        <w:t> out before the sampling.</w:t>
      </w:r>
    </w:p>
    <w:p w14:paraId="05508BFB" w14:textId="77777777" w:rsidR="00AA5826" w:rsidRDefault="00910327">
      <w:pPr>
        <w:pStyle w:val="Default"/>
        <w:numPr>
          <w:ilvl w:val="0"/>
          <w:numId w:val="5"/>
        </w:numPr>
        <w:spacing w:before="0" w:line="480" w:lineRule="auto"/>
        <w:rPr>
          <w:rFonts w:ascii="Times New Roman" w:hAnsi="Times New Roman"/>
          <w:color w:val="0E101A"/>
        </w:rPr>
      </w:pPr>
      <w:r>
        <w:rPr>
          <w:rFonts w:ascii="Times New Roman" w:hAnsi="Times New Roman"/>
          <w:color w:val="0E101A"/>
        </w:rPr>
        <w:t>Air samples do not tell us what particulates were missed by sampling in the center of a room and not in boundary layers on the bottom and sides of a room.</w:t>
      </w:r>
    </w:p>
    <w:p w14:paraId="56286798" w14:textId="77777777" w:rsidR="00AA5826" w:rsidRDefault="00910327">
      <w:pPr>
        <w:pStyle w:val="Default"/>
        <w:numPr>
          <w:ilvl w:val="0"/>
          <w:numId w:val="5"/>
        </w:numPr>
        <w:spacing w:before="0" w:line="480" w:lineRule="auto"/>
        <w:rPr>
          <w:rFonts w:ascii="Times New Roman" w:hAnsi="Times New Roman"/>
          <w:color w:val="0E101A"/>
        </w:rPr>
      </w:pPr>
      <w:r>
        <w:rPr>
          <w:rFonts w:ascii="Times New Roman" w:hAnsi="Times New Roman"/>
          <w:color w:val="0E101A"/>
        </w:rPr>
        <w:t>Air samples do not separate benign species from pathogenic species of </w:t>
      </w:r>
      <w:r>
        <w:rPr>
          <w:rFonts w:ascii="Times New Roman" w:hAnsi="Times New Roman"/>
          <w:i/>
          <w:iCs/>
          <w:color w:val="0E101A"/>
        </w:rPr>
        <w:t>Aspergillus</w:t>
      </w:r>
      <w:r>
        <w:rPr>
          <w:rFonts w:ascii="Times New Roman" w:hAnsi="Times New Roman"/>
          <w:color w:val="0E101A"/>
        </w:rPr>
        <w:t> and </w:t>
      </w:r>
      <w:r>
        <w:rPr>
          <w:rFonts w:ascii="Times New Roman" w:hAnsi="Times New Roman"/>
          <w:i/>
          <w:iCs/>
          <w:color w:val="0E101A"/>
        </w:rPr>
        <w:t>Penicillium</w:t>
      </w:r>
      <w:r>
        <w:rPr>
          <w:rFonts w:ascii="Times New Roman" w:hAnsi="Times New Roman"/>
          <w:color w:val="0E101A"/>
        </w:rPr>
        <w:t> (spore counts combine these two very large genera as Asp/Pen).</w:t>
      </w:r>
    </w:p>
    <w:p w14:paraId="084A35CF" w14:textId="77777777" w:rsidR="00AA5826" w:rsidRDefault="00910327">
      <w:pPr>
        <w:pStyle w:val="Default"/>
        <w:numPr>
          <w:ilvl w:val="0"/>
          <w:numId w:val="5"/>
        </w:numPr>
        <w:spacing w:before="0" w:line="480" w:lineRule="auto"/>
        <w:rPr>
          <w:rFonts w:ascii="Times New Roman" w:hAnsi="Times New Roman"/>
          <w:color w:val="0E101A"/>
        </w:rPr>
      </w:pPr>
      <w:r>
        <w:rPr>
          <w:rFonts w:ascii="Times New Roman" w:hAnsi="Times New Roman"/>
          <w:color w:val="0E101A"/>
        </w:rPr>
        <w:t>They rarely show the presence of heavier particulates such as those made by </w:t>
      </w:r>
      <w:r>
        <w:rPr>
          <w:rFonts w:ascii="Times New Roman" w:hAnsi="Times New Roman"/>
          <w:i/>
          <w:iCs/>
          <w:color w:val="0E101A"/>
        </w:rPr>
        <w:t>Stachybotrys</w:t>
      </w:r>
      <w:r>
        <w:rPr>
          <w:rFonts w:ascii="Times New Roman" w:hAnsi="Times New Roman"/>
          <w:color w:val="0E101A"/>
        </w:rPr>
        <w:t>.</w:t>
      </w:r>
    </w:p>
    <w:p w14:paraId="4EC3BE11" w14:textId="77777777" w:rsidR="00AA5826" w:rsidRDefault="00910327">
      <w:pPr>
        <w:pStyle w:val="Default"/>
        <w:numPr>
          <w:ilvl w:val="0"/>
          <w:numId w:val="5"/>
        </w:numPr>
        <w:spacing w:before="0" w:line="480" w:lineRule="auto"/>
        <w:rPr>
          <w:rFonts w:ascii="Times New Roman" w:hAnsi="Times New Roman"/>
          <w:color w:val="0E101A"/>
        </w:rPr>
      </w:pPr>
      <w:r>
        <w:rPr>
          <w:rFonts w:ascii="Times New Roman" w:hAnsi="Times New Roman"/>
          <w:color w:val="0E101A"/>
        </w:rPr>
        <w:t>They will never show the presence of xerophilic organisms such as </w:t>
      </w:r>
      <w:r>
        <w:rPr>
          <w:rFonts w:ascii="Times New Roman" w:hAnsi="Times New Roman"/>
          <w:i/>
          <w:iCs/>
          <w:color w:val="0E101A"/>
        </w:rPr>
        <w:t>Wallemia sebi</w:t>
      </w:r>
      <w:r>
        <w:rPr>
          <w:rFonts w:ascii="Times New Roman" w:hAnsi="Times New Roman"/>
          <w:color w:val="0E101A"/>
        </w:rPr>
        <w:t>.</w:t>
      </w:r>
    </w:p>
    <w:p w14:paraId="1C285A6C" w14:textId="77777777" w:rsidR="00AA5826" w:rsidRDefault="00910327">
      <w:pPr>
        <w:pStyle w:val="Default"/>
        <w:numPr>
          <w:ilvl w:val="0"/>
          <w:numId w:val="5"/>
        </w:numPr>
        <w:spacing w:before="0" w:line="480" w:lineRule="auto"/>
        <w:rPr>
          <w:rFonts w:ascii="Times New Roman" w:hAnsi="Times New Roman"/>
          <w:color w:val="0E101A"/>
        </w:rPr>
      </w:pPr>
      <w:r>
        <w:rPr>
          <w:rFonts w:ascii="Times New Roman" w:hAnsi="Times New Roman"/>
          <w:color w:val="0E101A"/>
        </w:rPr>
        <w:t>Without repetition of air sampling findings, multiple times per day in a given room for each of multiple days per week, multiple weeks per month, and multiple months per year, the World Health Organization has declared that air sampling is of </w:t>
      </w:r>
      <w:r>
        <w:rPr>
          <w:rFonts w:ascii="Times New Roman" w:hAnsi="Times New Roman"/>
          <w:i/>
          <w:iCs/>
          <w:color w:val="0E101A"/>
        </w:rPr>
        <w:t>no benefit</w:t>
      </w:r>
      <w:r>
        <w:rPr>
          <w:rFonts w:ascii="Times New Roman" w:hAnsi="Times New Roman"/>
          <w:color w:val="0E101A"/>
        </w:rPr>
        <w:t>.  </w:t>
      </w:r>
    </w:p>
    <w:p w14:paraId="09AF38FC"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642D2E4D"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One reason for the commonality of microbial findings in water-damaged buildings being similar across the states and worldwide is that the indoor ecosystem of a wet building is uniquely similar in all climates. There is rarely any wind indoors. There certainly is not any rain or frozen precipitation. There is only a narrow range of temperature in an occupied building and only limited diversity of visiting or exotic organisms. Often there will be limited movement of fixed objects in a room, setting up areas of reduced ventilation ("still air"). Fixed walls, not to mention floors and ceilings, create boundary layers of both air and particulates.  </w:t>
      </w:r>
    </w:p>
    <w:p w14:paraId="15AA318D"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3ADC8886"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MSQPCR (Mold Specific Quantitative Polymerase Chain Reaction) is a marker of different species of filamentous fungi found inside homes, both water-damaged and not. The fungal DNA present </w:t>
      </w:r>
      <w:r>
        <w:rPr>
          <w:rFonts w:ascii="Times New Roman" w:hAnsi="Times New Roman"/>
          <w:i/>
          <w:iCs/>
          <w:color w:val="0E101A"/>
        </w:rPr>
        <w:t>tells us much about the water activity</w:t>
      </w:r>
      <w:r>
        <w:rPr>
          <w:rFonts w:ascii="Times New Roman" w:hAnsi="Times New Roman"/>
          <w:color w:val="0E101A"/>
        </w:rPr>
        <w:t> found inside the building. The EPA-developed ERMI (Environmental Relative Moldiness Index) aims to quantify an index of microbial contamination in a building from the assessment of MSQPCR measured on dust samples. Initially done on vacuumed samples, ERMI uses electrostatic cloth wipe (Swiffer) samplings. Both Swiffer and vacuum methods bear comparable validity. </w:t>
      </w:r>
    </w:p>
    <w:p w14:paraId="01512BE8"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65D13463"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Proper ERMI testing demands the proper use of high-quality probes and primers for detection and reporting. Laboratories that license the ERMI technology from the EPA must show accurate and ongoing quality control. Never send a sample off to a lab that does not have ongoing EPA licensing, as errors routinely occur with faulty use of primers or inexpensive, inadequate reagents. If an MSQPCR lab does not disclose the quality control methods they use over the phone, do not use it. </w:t>
      </w:r>
    </w:p>
    <w:p w14:paraId="0DA70637"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0844F1AC"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The Health Effects Roster of Type Specific (Formers) of Mycotoxins and Inflammagens, Version II (HERTSMI-2) is a lab test far more useful than ERMI. HERTSMI-2 is more accurate in measuring the risk of recrudescence with re-exposure of CIRS patients to WDB than ERMI. HERTSMI-2 is now in broader use since its inception in 2011. Its accuracy </w:t>
      </w:r>
      <w:proofErr w:type="gramStart"/>
      <w:r>
        <w:rPr>
          <w:rFonts w:ascii="Times New Roman" w:hAnsi="Times New Roman"/>
          <w:color w:val="0E101A"/>
        </w:rPr>
        <w:t>sorts</w:t>
      </w:r>
      <w:proofErr w:type="gramEnd"/>
      <w:r>
        <w:rPr>
          <w:rFonts w:ascii="Times New Roman" w:hAnsi="Times New Roman"/>
          <w:color w:val="0E101A"/>
        </w:rPr>
        <w:t xml:space="preserve"> health abnormalities associated with exposure to five species of fungi in WDB that </w:t>
      </w:r>
    </w:p>
    <w:p w14:paraId="16DFD713" w14:textId="77777777" w:rsidR="00AA5826" w:rsidRDefault="00910327">
      <w:pPr>
        <w:pStyle w:val="Default"/>
        <w:numPr>
          <w:ilvl w:val="0"/>
          <w:numId w:val="6"/>
        </w:numPr>
        <w:spacing w:before="0" w:line="480" w:lineRule="auto"/>
        <w:rPr>
          <w:rFonts w:ascii="Times New Roman" w:hAnsi="Times New Roman"/>
          <w:color w:val="0E101A"/>
        </w:rPr>
      </w:pPr>
      <w:r>
        <w:rPr>
          <w:rFonts w:ascii="Times New Roman" w:hAnsi="Times New Roman"/>
          <w:color w:val="0E101A"/>
        </w:rPr>
        <w:t> "span the globe," of water activity (Aw) from the driest to the wettest organisms, and </w:t>
      </w:r>
    </w:p>
    <w:p w14:paraId="0258C29C" w14:textId="77777777" w:rsidR="00AA5826" w:rsidRDefault="00910327">
      <w:pPr>
        <w:pStyle w:val="Default"/>
        <w:numPr>
          <w:ilvl w:val="0"/>
          <w:numId w:val="5"/>
        </w:numPr>
        <w:spacing w:before="0" w:line="480" w:lineRule="auto"/>
        <w:rPr>
          <w:rFonts w:ascii="Times New Roman" w:hAnsi="Times New Roman"/>
          <w:color w:val="0E101A"/>
        </w:rPr>
      </w:pPr>
      <w:r>
        <w:rPr>
          <w:rFonts w:ascii="Times New Roman" w:hAnsi="Times New Roman"/>
          <w:color w:val="0E101A"/>
        </w:rPr>
        <w:t> show the overwhelming increase in CIRS when these specified organisms exist. </w:t>
      </w:r>
    </w:p>
    <w:p w14:paraId="7E875EC4"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By relying on the correlation of spore equivalents/mg dust with the risk of acquiring adverse human health effects, we finally have a measure that predicts degrees of safety for over 95% of CIRS patients entering schools, workplaces, and residences. One can always calculate a HERTSMI with the data from an ERMI. Greg Weatherman states that ERMI may be used in forensic data and provide critical information about the source of exposure. </w:t>
      </w:r>
    </w:p>
    <w:p w14:paraId="1F72F646" w14:textId="77777777" w:rsidR="00AA5826" w:rsidRDefault="00AA5826">
      <w:pPr>
        <w:pStyle w:val="Default"/>
        <w:spacing w:before="0" w:line="480" w:lineRule="auto"/>
        <w:rPr>
          <w:rFonts w:ascii="Times New Roman" w:eastAsia="Times New Roman" w:hAnsi="Times New Roman" w:cs="Times New Roman"/>
          <w:color w:val="0E101A"/>
        </w:rPr>
      </w:pPr>
    </w:p>
    <w:p w14:paraId="761306A6"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The scoring system for HERTSMI-2 weights severity of contamination from 0-10 points for given organisms. When we sort these organisms by Aw, we find that the drier-loving species of </w:t>
      </w:r>
      <w:r>
        <w:rPr>
          <w:rFonts w:ascii="Times New Roman" w:hAnsi="Times New Roman"/>
          <w:i/>
          <w:iCs/>
          <w:color w:val="0E101A"/>
          <w:lang w:val="de-DE"/>
        </w:rPr>
        <w:t>Wallemia</w:t>
      </w:r>
      <w:r>
        <w:rPr>
          <w:rFonts w:ascii="Times New Roman" w:hAnsi="Times New Roman"/>
          <w:color w:val="0E101A"/>
        </w:rPr>
        <w:t> and </w:t>
      </w:r>
      <w:r>
        <w:rPr>
          <w:rFonts w:ascii="Times New Roman" w:hAnsi="Times New Roman"/>
          <w:i/>
          <w:iCs/>
          <w:color w:val="0E101A"/>
        </w:rPr>
        <w:t>Aspergillus penicillioides</w:t>
      </w:r>
      <w:r>
        <w:rPr>
          <w:rFonts w:ascii="Times New Roman" w:hAnsi="Times New Roman"/>
          <w:color w:val="0E101A"/>
        </w:rPr>
        <w:t xml:space="preserve"> are routinely found in </w:t>
      </w:r>
      <w:proofErr w:type="spellStart"/>
      <w:r>
        <w:rPr>
          <w:rFonts w:ascii="Times New Roman" w:hAnsi="Times New Roman"/>
          <w:color w:val="0E101A"/>
        </w:rPr>
        <w:t>Aw</w:t>
      </w:r>
      <w:proofErr w:type="spellEnd"/>
      <w:r>
        <w:rPr>
          <w:rFonts w:ascii="Times New Roman" w:hAnsi="Times New Roman"/>
          <w:color w:val="0E101A"/>
        </w:rPr>
        <w:t xml:space="preserve"> of 0.65-0.8 but are rare in air samples. The common </w:t>
      </w:r>
      <w:r>
        <w:rPr>
          <w:rFonts w:ascii="Times New Roman" w:hAnsi="Times New Roman"/>
          <w:i/>
          <w:iCs/>
          <w:color w:val="0E101A"/>
          <w:lang w:val="it-IT"/>
        </w:rPr>
        <w:t>Aspergillus versicolor</w:t>
      </w:r>
      <w:r>
        <w:rPr>
          <w:rFonts w:ascii="Times New Roman" w:hAnsi="Times New Roman"/>
          <w:color w:val="0E101A"/>
        </w:rPr>
        <w:t>, usually found in higher Aw of 0.8 to 0.9, are reported by ERMI but are never reported at the species level by spore traps. </w:t>
      </w:r>
      <w:r>
        <w:rPr>
          <w:rFonts w:ascii="Times New Roman" w:hAnsi="Times New Roman"/>
          <w:i/>
          <w:iCs/>
          <w:color w:val="0E101A"/>
        </w:rPr>
        <w:t>Chaetomium</w:t>
      </w:r>
      <w:r>
        <w:rPr>
          <w:rFonts w:ascii="Times New Roman" w:hAnsi="Times New Roman"/>
          <w:color w:val="0E101A"/>
        </w:rPr>
        <w:t> and </w:t>
      </w:r>
      <w:r>
        <w:rPr>
          <w:rFonts w:ascii="Times New Roman" w:hAnsi="Times New Roman"/>
          <w:i/>
          <w:iCs/>
          <w:color w:val="0E101A"/>
        </w:rPr>
        <w:t>Stachybotrys</w:t>
      </w:r>
      <w:r>
        <w:rPr>
          <w:rFonts w:ascii="Times New Roman" w:hAnsi="Times New Roman"/>
          <w:color w:val="0E101A"/>
        </w:rPr>
        <w:t> reflect environmental conditions with an Aw of 0.9-1.0 and are detected infrequently in air samples using spore traps.  </w:t>
      </w:r>
    </w:p>
    <w:p w14:paraId="46624170"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04BDD9E1"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A word regarding dust collection: when using electrostatic cloths (like Swiffer), a single, new pad per sample is best. Put a glove on the left hand and wipe in one direction, either left to right or right to left. Use one cloth for all the sampling. Sample dust on high, undisturbed areas like curios and entertainment centers. Do not use windowsills or "public" areas, like hallways. Avoid shoes on closet floors, but closet shelves are fair game. Avoid bathrooms because of the role of water saturation following showers or bathing. If there is evidence of obvious microbial growth, resist the temptation to wipe it, as sampling the black patch on the bedroom wall, for example, will skew the sample to render results less reliable. If there is a crawlspace, a sump pump, a basement or an indoor spa, or areas in bathrooms that have hampered airflow with inadequate exhaust, be sure to test for endotoxins with the same sample used for HERTSMI-2. Testing for the presence of a</w:t>
      </w:r>
      <w:r>
        <w:rPr>
          <w:rFonts w:ascii="Times New Roman" w:hAnsi="Times New Roman"/>
          <w:i/>
          <w:iCs/>
          <w:color w:val="0E101A"/>
        </w:rPr>
        <w:t>ctinobacteria</w:t>
      </w:r>
      <w:r>
        <w:rPr>
          <w:rFonts w:ascii="Times New Roman" w:hAnsi="Times New Roman"/>
          <w:color w:val="0E101A"/>
        </w:rPr>
        <w:t> species is of tremendous value, especially when </w:t>
      </w:r>
      <w:r>
        <w:rPr>
          <w:rFonts w:ascii="Times New Roman" w:hAnsi="Times New Roman"/>
          <w:i/>
          <w:iCs/>
          <w:color w:val="0E101A"/>
        </w:rPr>
        <w:t>Aspergillus penicillioides</w:t>
      </w:r>
      <w:r>
        <w:rPr>
          <w:rFonts w:ascii="Times New Roman" w:hAnsi="Times New Roman"/>
          <w:color w:val="0E101A"/>
        </w:rPr>
        <w:t> or </w:t>
      </w:r>
      <w:r>
        <w:rPr>
          <w:rFonts w:ascii="Times New Roman" w:hAnsi="Times New Roman"/>
          <w:i/>
          <w:iCs/>
          <w:color w:val="0E101A"/>
        </w:rPr>
        <w:t>Wallemia a</w:t>
      </w:r>
      <w:r>
        <w:rPr>
          <w:rFonts w:ascii="Times New Roman" w:hAnsi="Times New Roman"/>
          <w:color w:val="0E101A"/>
        </w:rPr>
        <w:t>re predominant. Actinobacteria may grow in wetter environments but are more common in drier indoor spaces. They also prefer alkaline surfaces like concrete which remain chronically damp. </w:t>
      </w:r>
    </w:p>
    <w:p w14:paraId="4B8484D5"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6B7378D8"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We have seen that the causation of illness from water-damaged buildings is multi-factorial. We cannot just rely on fungal DNA. Can we identify a single source of causation of human illness from WDBs? </w:t>
      </w:r>
      <w:r>
        <w:rPr>
          <w:rFonts w:ascii="Times New Roman" w:hAnsi="Times New Roman"/>
          <w:i/>
          <w:iCs/>
          <w:color w:val="0E101A"/>
        </w:rPr>
        <w:t>The answer is no.</w:t>
      </w:r>
      <w:r>
        <w:rPr>
          <w:rFonts w:ascii="Times New Roman" w:hAnsi="Times New Roman"/>
          <w:b/>
          <w:bCs/>
          <w:i/>
          <w:iCs/>
          <w:color w:val="0E101A"/>
        </w:rPr>
        <w:t> </w:t>
      </w:r>
      <w:r>
        <w:rPr>
          <w:rFonts w:ascii="Times New Roman" w:hAnsi="Times New Roman"/>
          <w:i/>
          <w:iCs/>
          <w:color w:val="0E101A"/>
        </w:rPr>
        <w:t> </w:t>
      </w:r>
    </w:p>
    <w:p w14:paraId="08CE6F91" w14:textId="77777777" w:rsidR="00AA5826" w:rsidRDefault="00AA5826">
      <w:pPr>
        <w:pStyle w:val="Default"/>
        <w:spacing w:before="0" w:line="480" w:lineRule="auto"/>
        <w:rPr>
          <w:rFonts w:ascii="Times New Roman" w:eastAsia="Times New Roman" w:hAnsi="Times New Roman" w:cs="Times New Roman"/>
          <w:color w:val="0E101A"/>
        </w:rPr>
      </w:pPr>
    </w:p>
    <w:p w14:paraId="625063C6"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Countless different measurements, mostly not available, are needed for 100% certainty. One such example is spirocyclic drimanes, known to cause inflammation but for which there is no commercial test available. We are less able to measure beta glucans and mannans. Moreover, microbial VOCs show great potential as a biomarker for water damage. However, human health effects data associated with mVOC exposure is not confirmed. Please note that transcriptomics is bringing us closer to understanding causation. Differential gene activation can tell us if it is likely that reactivity to mycotoxins, actinobacteria, or endotoxins has occurred.</w:t>
      </w:r>
    </w:p>
    <w:p w14:paraId="61CDCEAD" w14:textId="0958B28D" w:rsidR="00AA5826" w:rsidRDefault="00AA5826">
      <w:pPr>
        <w:pStyle w:val="Default"/>
        <w:spacing w:before="0" w:line="480" w:lineRule="auto"/>
      </w:pPr>
    </w:p>
    <w:p w14:paraId="7B49C89E"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Not everyone exposed becomes ill. Furthermore, more curiously, people with successful treatment will relapse through re-exposure. What is our protective antibody arm of the immune system doing? Could antigen detection and antigen presentation </w:t>
      </w:r>
      <w:r>
        <w:rPr>
          <w:rFonts w:ascii="Times New Roman" w:hAnsi="Times New Roman"/>
          <w:i/>
          <w:iCs/>
          <w:color w:val="0E101A"/>
        </w:rPr>
        <w:t>both</w:t>
      </w:r>
      <w:r>
        <w:rPr>
          <w:rFonts w:ascii="Times New Roman" w:hAnsi="Times New Roman"/>
          <w:color w:val="0E101A"/>
        </w:rPr>
        <w:t> </w:t>
      </w:r>
      <w:r>
        <w:rPr>
          <w:rFonts w:ascii="Times New Roman" w:hAnsi="Times New Roman"/>
          <w:color w:val="0E101A"/>
          <w:lang w:val="es-ES_tradnl"/>
        </w:rPr>
        <w:t>be defective?</w:t>
      </w:r>
      <w:r>
        <w:rPr>
          <w:rFonts w:ascii="Times New Roman" w:hAnsi="Times New Roman"/>
          <w:color w:val="0E101A"/>
        </w:rPr>
        <w:t>  </w:t>
      </w:r>
    </w:p>
    <w:p w14:paraId="4F8F56C0"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49A5E43B"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Inflammation sets off more inflammation, uncontrolled like a runaway freight train without brakes. This inflammatory cascade causes changes in gene activation, which are the fundamental source of CIRS. </w:t>
      </w:r>
    </w:p>
    <w:p w14:paraId="6BB9E253" w14:textId="3CE1DAB0" w:rsidR="00AA5826" w:rsidRDefault="00AA5826">
      <w:pPr>
        <w:pStyle w:val="Default"/>
        <w:spacing w:before="0" w:line="480" w:lineRule="auto"/>
      </w:pPr>
    </w:p>
    <w:p w14:paraId="6C2120F0"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b/>
          <w:bCs/>
          <w:color w:val="0E101A"/>
        </w:rPr>
        <w:t>2. Water Activity </w:t>
      </w:r>
    </w:p>
    <w:p w14:paraId="23DE523C" w14:textId="77777777" w:rsidR="00AA5826" w:rsidRDefault="00AA5826">
      <w:pPr>
        <w:pStyle w:val="Default"/>
        <w:spacing w:before="0" w:line="480" w:lineRule="auto"/>
        <w:rPr>
          <w:rFonts w:ascii="Times New Roman" w:eastAsia="Times New Roman" w:hAnsi="Times New Roman" w:cs="Times New Roman"/>
          <w:color w:val="0E101A"/>
        </w:rPr>
      </w:pPr>
    </w:p>
    <w:p w14:paraId="2A4AD3CF"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It is a basic tenet of real estate that landlords, building-owners/sellers, and construction companies are responsible for providing a safe indoor environment. When an outdoor deck collapses, for example, throwing a group of wedding guests into a creek, an injured guest might claim that negligent construction caused personal loss, pain, and suffering. Exchange of money might not make a person whole again, but the idea of compensation for caused injury applies. Who is negligent if water intrusion gives rise to the growth of one-celled organisms that then cause inflammation and a multisystem, multi-symptom illness? Who pays the plaintiff when causation of personal injury receives confirmation in court? </w:t>
      </w:r>
    </w:p>
    <w:p w14:paraId="649CC1FA"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3E649C41"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When water enters an enclosed space, and that space stays wet for as little as 48 hours, microbial growth will occur. While bacteria might be the first colonizers, fungi are not far behind. Precisely which microbes grow is entirely dependent on the availability of moisture. We call this availability of water or water activity "Aw." Aw of 1.0 (or 100% relative humidity.) is open water compared to the water vapor pressure above the water. Bacteria and "wet" fungi, like </w:t>
      </w:r>
      <w:r>
        <w:rPr>
          <w:rFonts w:ascii="Times New Roman" w:hAnsi="Times New Roman"/>
          <w:i/>
          <w:iCs/>
          <w:color w:val="0E101A"/>
        </w:rPr>
        <w:t>Chaetomium</w:t>
      </w:r>
      <w:r>
        <w:rPr>
          <w:rFonts w:ascii="Times New Roman" w:hAnsi="Times New Roman"/>
          <w:color w:val="0E101A"/>
        </w:rPr>
        <w:t> and </w:t>
      </w:r>
      <w:r>
        <w:rPr>
          <w:rFonts w:ascii="Times New Roman" w:hAnsi="Times New Roman"/>
          <w:i/>
          <w:iCs/>
          <w:color w:val="0E101A"/>
        </w:rPr>
        <w:t>Stachybotrys</w:t>
      </w:r>
      <w:r>
        <w:rPr>
          <w:rFonts w:ascii="Times New Roman" w:hAnsi="Times New Roman"/>
          <w:color w:val="0E101A"/>
        </w:rPr>
        <w:t>, need a minimum Aw of &gt; 0.9 (&gt;90% relative humidity) to grow. "Medium-wet" filamentous fungi, like </w:t>
      </w:r>
      <w:r>
        <w:rPr>
          <w:rFonts w:ascii="Times New Roman" w:hAnsi="Times New Roman"/>
          <w:i/>
          <w:iCs/>
          <w:color w:val="0E101A"/>
          <w:lang w:val="it-IT"/>
        </w:rPr>
        <w:t>Aspergillus versicolor</w:t>
      </w:r>
      <w:r>
        <w:rPr>
          <w:rFonts w:ascii="Times New Roman" w:hAnsi="Times New Roman"/>
          <w:color w:val="0E101A"/>
        </w:rPr>
        <w:t>, need Aw of 0.8-0.9 to grow. "Drier" fungal organisms, including </w:t>
      </w:r>
      <w:r>
        <w:rPr>
          <w:rFonts w:ascii="Times New Roman" w:hAnsi="Times New Roman"/>
          <w:i/>
          <w:iCs/>
          <w:color w:val="0E101A"/>
        </w:rPr>
        <w:t>Aspergillus penicillioides</w:t>
      </w:r>
      <w:r>
        <w:rPr>
          <w:rFonts w:ascii="Times New Roman" w:hAnsi="Times New Roman"/>
          <w:color w:val="0E101A"/>
        </w:rPr>
        <w:t>, need a minimum Aw of 0.58-0.8 to grow. The dry (xerophilic) fungi, especially </w:t>
      </w:r>
      <w:r>
        <w:rPr>
          <w:rFonts w:ascii="Times New Roman" w:hAnsi="Times New Roman"/>
          <w:i/>
          <w:iCs/>
          <w:color w:val="0E101A"/>
        </w:rPr>
        <w:t>Wallemia sebi</w:t>
      </w:r>
      <w:r>
        <w:rPr>
          <w:rFonts w:ascii="Times New Roman" w:hAnsi="Times New Roman"/>
          <w:color w:val="0E101A"/>
        </w:rPr>
        <w:t>, like a range of Aw that can go as low as 0.55 to 0.75 to grow. </w:t>
      </w:r>
    </w:p>
    <w:p w14:paraId="10EF996B"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5A2AC471"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The availability of water has relevance for all involved in the WDB field. Consider nasal mucus. It is full of water, yet mucus prevents the growth of the vast percentage of potential pathogens that land in the nose during breathing. Why does not every germ in the nose cause infection? Because the water needed for the growth of bacteria and fungi </w:t>
      </w:r>
      <w:r>
        <w:rPr>
          <w:rFonts w:ascii="Times New Roman" w:hAnsi="Times New Roman"/>
          <w:i/>
          <w:iCs/>
          <w:color w:val="0E101A"/>
        </w:rPr>
        <w:t>is not bioavailable</w:t>
      </w:r>
      <w:r>
        <w:rPr>
          <w:rFonts w:ascii="Times New Roman" w:hAnsi="Times New Roman"/>
          <w:color w:val="0E101A"/>
        </w:rPr>
        <w:t>. The mucopolysaccharide matrix prevents the water from nourishing fungi, for example. In the end, it is irrelevant whether fungi are in nasal secretions. They will not make toxins or secondary metabolites without available water.  </w:t>
      </w:r>
    </w:p>
    <w:p w14:paraId="5E3886A4"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49ECB8D6"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Cases of fungal sinusitis have 2.4 species of fungi cultured in mucus in their noses, but controls have 3.1 species cultured. 87% of all cases had positive cultures, but 91.3 % of controls also had positive cultures in a classic German report from 2003. Because "fungi can be identified in almost everybody's nose…when inhaled, these airborne fungi are only "in transit" through the nose. Positive fungal cultures from nasal secretions have to be considered normal findings." </w:t>
      </w:r>
    </w:p>
    <w:p w14:paraId="4ECEB114"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5C842160"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If we only assay dust found in a WDB for fungal DNA, the presence of indicator fungal DNA tells us a lot about the building ecology described by Aw. By looking at indicator DNA, we can get a solid idea of what is abnormal in the ecology of a WDB that is making people sick. </w:t>
      </w:r>
    </w:p>
    <w:p w14:paraId="0D8BF348"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253AD22D"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Perhaps the most important organisms found in WDB are </w:t>
      </w:r>
      <w:r>
        <w:rPr>
          <w:rFonts w:ascii="Times New Roman" w:hAnsi="Times New Roman"/>
          <w:i/>
          <w:iCs/>
          <w:color w:val="0E101A"/>
        </w:rPr>
        <w:t>actinobacteria</w:t>
      </w:r>
      <w:r>
        <w:rPr>
          <w:rFonts w:ascii="Times New Roman" w:hAnsi="Times New Roman"/>
          <w:color w:val="0E101A"/>
        </w:rPr>
        <w:t>. Not fungi, not mold, black molds, and toxic black molds, but these filamentous bacteria in clinical dust samples may be the most significant players in adverse human health effects. If we add assays for endotoxins and actinobacteria to assays of fungal DNA, we can obtain a robust picture of the harmful microbes in a WDB. </w:t>
      </w:r>
    </w:p>
    <w:p w14:paraId="63D9C952"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54300CAA"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b/>
          <w:bCs/>
          <w:color w:val="0E101A"/>
        </w:rPr>
        <w:t>3. How does water get inside? The value of vigilance maintenance of the building envelope</w:t>
      </w:r>
      <w:r>
        <w:rPr>
          <w:rFonts w:ascii="Times New Roman" w:hAnsi="Times New Roman"/>
          <w:color w:val="0E101A"/>
        </w:rPr>
        <w:t>.</w:t>
      </w:r>
    </w:p>
    <w:p w14:paraId="5EDB29A5"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0B4EFA9C" w14:textId="3EA82A86" w:rsidR="00AA5826" w:rsidRDefault="00910327" w:rsidP="6DB205A6">
      <w:pPr>
        <w:pStyle w:val="Default"/>
        <w:spacing w:before="0" w:line="480" w:lineRule="auto"/>
        <w:rPr>
          <w:rFonts w:ascii="Times New Roman" w:eastAsia="Times New Roman" w:hAnsi="Times New Roman" w:cs="Times New Roman"/>
          <w:b/>
          <w:bCs/>
          <w:color w:val="0E101A"/>
        </w:rPr>
      </w:pPr>
      <w:r>
        <w:rPr>
          <w:rFonts w:ascii="Times New Roman" w:hAnsi="Times New Roman"/>
          <w:b/>
          <w:bCs/>
          <w:color w:val="0E101A"/>
          <w:lang w:val="nl-NL"/>
        </w:rPr>
        <w:t>3.1 Roofs</w:t>
      </w:r>
      <w:r>
        <w:rPr>
          <w:rFonts w:ascii="Times New Roman" w:hAnsi="Times New Roman"/>
          <w:color w:val="0E101A"/>
        </w:rPr>
        <w:t>  </w:t>
      </w:r>
    </w:p>
    <w:p w14:paraId="6C7373EB" w14:textId="61EA9603" w:rsidR="6DB205A6" w:rsidRDefault="6DB205A6" w:rsidP="6DB205A6">
      <w:pPr>
        <w:pStyle w:val="Default"/>
        <w:rPr>
          <w:color w:val="000000" w:themeColor="text1"/>
        </w:rPr>
      </w:pPr>
    </w:p>
    <w:p w14:paraId="45268936"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How many thousand nails are required to shingle a 3000 square foot roof (4 nails/shingle in low wind areas; 320 nails per 100 square feet)? If 1 in a hundred nail heads are exposed, that means ten exposed/300 square feet. Not much room for error! Remember, it takes fewer than ten exposed nail heads to create a significant risk for a leak. Get out the binoculars and look for exposed nail heads peeking out from under the shingles, reflecting light on a sunny day.</w:t>
      </w:r>
    </w:p>
    <w:p w14:paraId="4474F8A0"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775F8087"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Flat roofs with membranes have a limited shelf-life because it only takes a pinhole defect and gravity for water to enter a building.</w:t>
      </w:r>
    </w:p>
    <w:p w14:paraId="5E6F60B5"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384E542C"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"Boots" woven under shingles around the ventilation pipes take moisture out of bathrooms and exhaust to the outside world. They range in price from $25 to $75. The cheap ones might last ten years until they leak. Newer boots are rated at 50 years (with 20 nights of 40 mph winds per year) but cost $75 each. The cheaper options tend to fail more quickly. Take a trip to the attic. Look at the attic side of the boots. Are there any moisture stains? Make sure all vent pipes go through the roof deck too. </w:t>
      </w:r>
    </w:p>
    <w:p w14:paraId="1DF8BA61"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5432580F"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Look at ventilating soffits inside the attic and outside. Is air flowing as expected through the soffit and out the ridge vent? Is there daylight between the edge of the roof and the chimney stack? If daylight is visible, there will be water coming down the outside of the chimney into the home. Time to flash and counter-flash. Or how about the chimney that is off-center in a gable end of a house? Water coming down from the higher-pitched areas will flow against the flashing around the chimney. Time for a mini-roof ("cricket") used to deflect water away from the pocket created by siding touching flashing. </w:t>
      </w:r>
    </w:p>
    <w:p w14:paraId="365DB198"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0FBCAEBF"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Snow dogs will help prevent ice dams but will eventually leak. Inspect the snow dogs and the attic below where ice dams might form. Look for discolored insulation. </w:t>
      </w:r>
    </w:p>
    <w:p w14:paraId="1D5BCD6B"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28176137"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b/>
          <w:bCs/>
          <w:color w:val="0E101A"/>
          <w:lang w:val="it-IT"/>
        </w:rPr>
        <w:t>3.2 Windows</w:t>
      </w:r>
    </w:p>
    <w:p w14:paraId="52E56223" w14:textId="77777777" w:rsidR="00AA5826" w:rsidRDefault="00AA5826">
      <w:pPr>
        <w:pStyle w:val="Default"/>
        <w:spacing w:before="0" w:line="480" w:lineRule="auto"/>
        <w:rPr>
          <w:rFonts w:ascii="Times New Roman" w:eastAsia="Times New Roman" w:hAnsi="Times New Roman" w:cs="Times New Roman"/>
          <w:color w:val="0E101A"/>
        </w:rPr>
      </w:pPr>
    </w:p>
    <w:p w14:paraId="2E9B6CC2"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Windows are complicated to install. It is common in new construction to find moisture from leaking windows in wall cavities below windowsills. New construction ends up being far riskier for hidden defects than older construction. The reason might not be apparent. It can take a year or two to recognize construction problems and microbial growth. WDBs usually have moisture intrusion over time as various defects become apparent. </w:t>
      </w:r>
    </w:p>
    <w:p w14:paraId="3BC5EC03"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281CE6E5"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b/>
          <w:bCs/>
          <w:color w:val="0E101A"/>
          <w:lang w:val="nl-NL"/>
        </w:rPr>
        <w:t>3.3 Doors</w:t>
      </w:r>
    </w:p>
    <w:p w14:paraId="07547A01" w14:textId="77777777" w:rsidR="00AA5826" w:rsidRDefault="00AA5826">
      <w:pPr>
        <w:pStyle w:val="Default"/>
        <w:spacing w:before="0" w:line="480" w:lineRule="auto"/>
        <w:rPr>
          <w:rFonts w:ascii="Times New Roman" w:eastAsia="Times New Roman" w:hAnsi="Times New Roman" w:cs="Times New Roman"/>
          <w:color w:val="0E101A"/>
        </w:rPr>
      </w:pPr>
    </w:p>
    <w:p w14:paraId="6CC1A6A7"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Improper door installation causes leaks from above and below. Every year it is necessary to caulk inset fanlights over doors. Inspect doors for warps, swelling, and leaks.</w:t>
      </w:r>
    </w:p>
    <w:p w14:paraId="3751300F"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25398309"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b/>
          <w:bCs/>
          <w:color w:val="0E101A"/>
        </w:rPr>
        <w:t>3.4 Gutters</w:t>
      </w:r>
    </w:p>
    <w:p w14:paraId="5043CB0F" w14:textId="77777777" w:rsidR="00AA5826" w:rsidRDefault="00AA5826">
      <w:pPr>
        <w:pStyle w:val="Default"/>
        <w:spacing w:before="0" w:line="480" w:lineRule="auto"/>
        <w:rPr>
          <w:rFonts w:ascii="Times New Roman" w:eastAsia="Times New Roman" w:hAnsi="Times New Roman" w:cs="Times New Roman"/>
          <w:color w:val="0E101A"/>
        </w:rPr>
      </w:pPr>
    </w:p>
    <w:p w14:paraId="32152CF6"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Gutter inspection and maintenance are crucial. If an overhanging tree is present, the obstruction problem is essentially guaranteed. As the gutter continues to fill with debris, the water has to go somewhere. It will usually overflow the front or the back. If there is a slight backward pitch of the gutter, water will impact against the fascia board. If this wide flat board is not tight, there is free entry for water behind the fascia into the attic or inside the cladding. Once inside the attic, water can then run downhill, sometimes going a very long way along a rafter. When water meets a drop-off point, maybe just a bow of the wood or a protruding </w:t>
      </w:r>
      <w:proofErr w:type="spellStart"/>
      <w:r>
        <w:rPr>
          <w:rFonts w:ascii="Times New Roman" w:hAnsi="Times New Roman"/>
          <w:color w:val="0E101A"/>
        </w:rPr>
        <w:t>nailhead</w:t>
      </w:r>
      <w:proofErr w:type="spellEnd"/>
      <w:r>
        <w:rPr>
          <w:rFonts w:ascii="Times New Roman" w:hAnsi="Times New Roman"/>
          <w:color w:val="0E101A"/>
        </w:rPr>
        <w:t>, gravity will direct the water downwards. Homes with blocked gutters can show leaks 40 feet away on the opposite side of the attic. </w:t>
      </w:r>
    </w:p>
    <w:p w14:paraId="35F0889A"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29F21DE2"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b/>
          <w:bCs/>
          <w:color w:val="0E101A"/>
        </w:rPr>
        <w:t>3.5 Siding (Cladding</w:t>
      </w:r>
      <w:r>
        <w:rPr>
          <w:rFonts w:ascii="Times New Roman" w:hAnsi="Times New Roman"/>
          <w:color w:val="0E101A"/>
        </w:rPr>
        <w:t>)</w:t>
      </w:r>
    </w:p>
    <w:p w14:paraId="07459315" w14:textId="071642BE" w:rsidR="00AA5826" w:rsidRDefault="00AA5826">
      <w:pPr>
        <w:pStyle w:val="Default"/>
        <w:spacing w:before="0" w:line="480" w:lineRule="auto"/>
      </w:pPr>
    </w:p>
    <w:p w14:paraId="4302CBFF"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Any siding materials can leak. Brick, stone, wood, vinyl, concrete, block, and stucco are just a barrier. Wind-driven water can track uphill under the edges of siding through nail holes and cracks. Inadequate seals around fake stucco often </w:t>
      </w:r>
      <w:bookmarkStart w:id="0" w:name="_Int_1QhjmlgP"/>
      <w:proofErr w:type="gramStart"/>
      <w:r>
        <w:rPr>
          <w:rFonts w:ascii="Times New Roman" w:hAnsi="Times New Roman"/>
          <w:color w:val="0E101A"/>
        </w:rPr>
        <w:t>invite</w:t>
      </w:r>
      <w:bookmarkEnd w:id="0"/>
      <w:proofErr w:type="gramEnd"/>
      <w:r>
        <w:rPr>
          <w:rFonts w:ascii="Times New Roman" w:hAnsi="Times New Roman"/>
          <w:color w:val="0E101A"/>
        </w:rPr>
        <w:t xml:space="preserve"> water intrusion. If porous oriented strand board (OSB) protects the stud walls underneath the cladding inside the house, the water coming from seal leaks is an invitation to microbial growth. OSB acts as a nurturing sponge of life for microbes. Significantly, mold and bacteria will rapidly grow through the 4' by 8' wood particle-chip-glue sheet, leading to microbial growth on </w:t>
      </w:r>
      <w:r w:rsidRPr="6DB205A6">
        <w:rPr>
          <w:rFonts w:ascii="Times New Roman" w:hAnsi="Times New Roman"/>
          <w:i/>
          <w:iCs/>
          <w:color w:val="0E101A"/>
        </w:rPr>
        <w:t>both sides</w:t>
      </w:r>
      <w:r>
        <w:rPr>
          <w:rFonts w:ascii="Times New Roman" w:hAnsi="Times New Roman"/>
          <w:color w:val="0E101A"/>
        </w:rPr>
        <w:t> of the OSB. If OSB remains wet and fungi digest the cellulose, it does not take too long before additional water is dumped into a wall cavity, creating potential problems. As particulates from microbial growth go airborne, even in wall cavities, they can find their way into the home traveling on air flowing around switch plates, receptacles, defective drywall joints, or even nails used to hang pictures. Actinobacteria get through interior walls more often than fungi do, but bacteria are the swiftest to penetrate.  </w:t>
      </w:r>
    </w:p>
    <w:p w14:paraId="6B515302"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5E65BC48"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The same moisture penetration problem applies to</w:t>
      </w:r>
      <w:r>
        <w:rPr>
          <w:rFonts w:ascii="Times New Roman" w:hAnsi="Times New Roman"/>
          <w:i/>
          <w:iCs/>
          <w:color w:val="0E101A"/>
        </w:rPr>
        <w:t> exterior masonry walls</w:t>
      </w:r>
      <w:r>
        <w:rPr>
          <w:rFonts w:ascii="Times New Roman" w:hAnsi="Times New Roman"/>
          <w:color w:val="0E101A"/>
        </w:rPr>
        <w:t> because there is a space behind bricks or stone in which air circulates. Bricks and stone are both porous, which means moisture that hits the outside of the brick can migrate through to the inner surface. Once inside, water will drain downward. At the bottom of the exterior wall, there should be an opening called a "weep hole" that will let water leave the inner space and not create microbial growth between the brick and plywood or OSB.  </w:t>
      </w:r>
    </w:p>
    <w:p w14:paraId="4253EF77"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05FD0A70"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b/>
          <w:bCs/>
          <w:color w:val="0E101A"/>
        </w:rPr>
        <w:t>3.6 Vinyl siding</w:t>
      </w:r>
      <w:r>
        <w:rPr>
          <w:rFonts w:ascii="Times New Roman" w:hAnsi="Times New Roman"/>
          <w:color w:val="0E101A"/>
        </w:rPr>
        <w:t> </w:t>
      </w:r>
    </w:p>
    <w:p w14:paraId="6537F28F" w14:textId="77777777" w:rsidR="00AA5826" w:rsidRDefault="00AA5826">
      <w:pPr>
        <w:pStyle w:val="Default"/>
        <w:spacing w:before="0" w:line="480" w:lineRule="auto"/>
        <w:rPr>
          <w:rFonts w:ascii="Times New Roman" w:eastAsia="Times New Roman" w:hAnsi="Times New Roman" w:cs="Times New Roman"/>
          <w:color w:val="0E101A"/>
        </w:rPr>
      </w:pPr>
    </w:p>
    <w:p w14:paraId="52911756"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Vinyl siding is inexpensive, goes up quickly, and comes in many colors. It is no surprise that we have so many vinyl-sided homes in the U.S. While the vinyl itself is impervious to the inflow of outside water, the junctions between pieces of vinyl or areas around vinyl nails create potential portals for water intrusion. Wind makes gaps in vinyl walls! </w:t>
      </w:r>
    </w:p>
    <w:p w14:paraId="2D6473E8"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60B26A8F"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The green material growing on exterior walls is not mold but </w:t>
      </w:r>
      <w:r>
        <w:rPr>
          <w:rFonts w:ascii="Times New Roman" w:hAnsi="Times New Roman"/>
          <w:i/>
          <w:iCs/>
          <w:color w:val="0E101A"/>
          <w:lang w:val="pt-PT"/>
        </w:rPr>
        <w:t>algae</w:t>
      </w:r>
      <w:r>
        <w:rPr>
          <w:rFonts w:ascii="Times New Roman" w:hAnsi="Times New Roman"/>
          <w:color w:val="0E101A"/>
        </w:rPr>
        <w:t>. The algal growth can be so profuse that a mat of algae may form in corners. Under the mat, there can be an air space between overlapping pieces of siding that lets water wick underneath.  </w:t>
      </w:r>
    </w:p>
    <w:p w14:paraId="696D69FC"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288D4B27"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Attempts to clean siding can create new problems. Power washing will remove algae but may cause water intrusion inside the building envelope.</w:t>
      </w:r>
    </w:p>
    <w:p w14:paraId="72302A59"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687C65FF"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b/>
          <w:bCs/>
          <w:color w:val="0E101A"/>
        </w:rPr>
        <w:t>3.7 Crawl Spaces</w:t>
      </w:r>
    </w:p>
    <w:p w14:paraId="6DFB9E20" w14:textId="77777777" w:rsidR="00AA5826" w:rsidRDefault="00AA5826">
      <w:pPr>
        <w:pStyle w:val="Default"/>
        <w:spacing w:before="0" w:line="480" w:lineRule="auto"/>
        <w:rPr>
          <w:rFonts w:ascii="Times New Roman" w:eastAsia="Times New Roman" w:hAnsi="Times New Roman" w:cs="Times New Roman"/>
          <w:color w:val="0E101A"/>
        </w:rPr>
      </w:pPr>
    </w:p>
    <w:p w14:paraId="40C01C12"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Basements and crawlspaces are sources of microbial growth found in 95% of homes with subterranean features. Having a walkout basement is no guarantee of safety because the inground side of a walkout basement is subject to additional water pressure that can create a wet wall. Water pressure will overcome any temporary barrier created by tar solutions or fancy paints designed to be waterproof. </w:t>
      </w:r>
    </w:p>
    <w:p w14:paraId="31CBAF0D"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4EE6904B"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Many people with a walkout basement dig trenches on the inground side approximately 3-4 feet deep and install perforated pipe covered by pebbles to create a "French drain." At the corners of the building, pipes form a right angle to direct groundwater away from the building. The pipes extend beyond the downhill side of the house. When homeowners perform this kind of preventive maintenance, they are surprised how much water comes out of the drainpipes.</w:t>
      </w:r>
    </w:p>
    <w:p w14:paraId="4A7717C8"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13E9629A"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Some people install sump pumps to fix moisture problems created by subterranean structures. Using a chiseled notch or trench, cut into the concrete slab of the floor that leads to the sump pump, and then the pump will move the water somewhere, hopefully outside of the basement. This approach sounds pretty good, except when we recognize that the water that has just come in and is in a trench creates a microclimate of elevated Aw that is perfect for bacterial growth. Sump pumps themselves almost guarantee a source of bacterial colonization and endotoxins. A better solution is not to have a basement!  </w:t>
      </w:r>
    </w:p>
    <w:p w14:paraId="419A23A7"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08F4CC0C"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In Maryland, basements are uncommon, unlike crawl spaces. Usually 3-4 cinder blocks high, crawls are the standard approach to lower-cost new home construction. A finished crawl space will often have several vents installed every 8-12 feet. When the hot moist air hits the cool air over the exposed soil in the crawl (usually about 54 degrees), the condensation has nearly the effect of rain. The excessive moisture from the earth below provides a continuous source of moisture to nourish micro-organisms growing in soil. Do not be confused by the dry appearance of the soil in a crawl space: it just means that soil water has evaporated over time. More is on the way from deeper soils.</w:t>
      </w:r>
    </w:p>
    <w:p w14:paraId="70DF9E56" w14:textId="7E26AC35" w:rsidR="00AA5826" w:rsidRDefault="00AA5826">
      <w:pPr>
        <w:pStyle w:val="Default"/>
        <w:spacing w:before="0" w:line="480" w:lineRule="auto"/>
      </w:pPr>
    </w:p>
    <w:p w14:paraId="1D0C45E5"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Condition or seal off the crawl spaces to reduce moisture from soil or the sidewalls from entering the air in the crawl. By putting 20-28-gauge plastic (pond liners are best) and then folding the edges of the liner upwards so that the liner can be attached to the board (sill plate) sitting on top of the foundation, we can create a water intrusion barrier that works. Meanwhile, any water coming from the earth remains under plastic. There is no excess moisture on the floor side of the liner available to nourish microbes that might be living opportunistically in the crawl space. The vents are sealed shut. </w:t>
      </w:r>
    </w:p>
    <w:p w14:paraId="74536B0D"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7F316F65"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This conditioning idea sounds radical. Traditionally, crawl spaces have vents. Newer building practices opt for ventless crawl spaces. Nevertheless, the moisture problems continue. Conditioning is defeated when HVACs pump warm or cool air into the crawlspace and create a temperature gradient. Now we are creating the opportunity to mix indoor moisture with a sealed crawl space, thereby defeating the purpose of a moisture-tight chamber.</w:t>
      </w:r>
    </w:p>
    <w:p w14:paraId="7D7A3EC8"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2CD533A3"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If there is a basement or a crawl space, use expandable foam to seal any holes in the subfloor. It is incredible how much air can come through small openings around pipes. Such spray foams will release VOCs, so seal well before occupying the building. </w:t>
      </w:r>
    </w:p>
    <w:p w14:paraId="129C278E"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4696A686"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b/>
          <w:bCs/>
          <w:color w:val="0E101A"/>
          <w:lang w:val="fr-FR"/>
        </w:rPr>
        <w:t xml:space="preserve">3.8 </w:t>
      </w:r>
      <w:proofErr w:type="spellStart"/>
      <w:r>
        <w:rPr>
          <w:rFonts w:ascii="Times New Roman" w:hAnsi="Times New Roman"/>
          <w:b/>
          <w:bCs/>
          <w:color w:val="0E101A"/>
          <w:lang w:val="fr-FR"/>
        </w:rPr>
        <w:t>Internal</w:t>
      </w:r>
      <w:proofErr w:type="spellEnd"/>
      <w:r>
        <w:rPr>
          <w:rFonts w:ascii="Times New Roman" w:hAnsi="Times New Roman"/>
          <w:b/>
          <w:bCs/>
          <w:color w:val="0E101A"/>
          <w:lang w:val="fr-FR"/>
        </w:rPr>
        <w:t xml:space="preserve"> Sources</w:t>
      </w:r>
    </w:p>
    <w:p w14:paraId="44E871BC" w14:textId="6C4FFCB9" w:rsidR="00AA5826" w:rsidRDefault="00AA5826">
      <w:pPr>
        <w:pStyle w:val="Default"/>
        <w:spacing w:before="0" w:line="480" w:lineRule="auto"/>
      </w:pPr>
    </w:p>
    <w:p w14:paraId="5AAB223D"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Internal sources of moisture are easy to overlook. Outside humidity is a problem in tropical regions. Two choices exist to prevent exposure. The first involves matching the tonnage of HVAC equipment to the volume of a building. The second approach is to increase ventilation. In the U.S., buildings often use HVAC to safeguard homes from tropical fungi (especially </w:t>
      </w:r>
      <w:r>
        <w:rPr>
          <w:rFonts w:ascii="Times New Roman" w:hAnsi="Times New Roman"/>
          <w:i/>
          <w:iCs/>
          <w:color w:val="0E101A"/>
        </w:rPr>
        <w:t>A. penicillioides</w:t>
      </w:r>
      <w:r>
        <w:rPr>
          <w:rFonts w:ascii="Times New Roman" w:hAnsi="Times New Roman"/>
          <w:color w:val="0E101A"/>
        </w:rPr>
        <w:t>).  </w:t>
      </w:r>
    </w:p>
    <w:p w14:paraId="2790C8A6"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4B886A32" w14:textId="77777777" w:rsidR="00AA5826" w:rsidRDefault="00910327" w:rsidP="6DB205A6">
      <w:pPr>
        <w:pStyle w:val="Default"/>
        <w:spacing w:before="0" w:line="480" w:lineRule="auto"/>
        <w:rPr>
          <w:rFonts w:ascii="Times New Roman" w:eastAsia="Times New Roman" w:hAnsi="Times New Roman" w:cs="Times New Roman"/>
          <w:b/>
          <w:bCs/>
          <w:color w:val="0E101A"/>
        </w:rPr>
      </w:pPr>
      <w:r>
        <w:rPr>
          <w:rFonts w:ascii="Times New Roman" w:hAnsi="Times New Roman"/>
          <w:b/>
          <w:bCs/>
          <w:color w:val="0E101A"/>
        </w:rPr>
        <w:t>3.9 Cooking</w:t>
      </w:r>
    </w:p>
    <w:p w14:paraId="18619D27" w14:textId="4515235A" w:rsidR="6DB205A6" w:rsidRDefault="6DB205A6" w:rsidP="6DB205A6">
      <w:pPr>
        <w:pStyle w:val="Default"/>
        <w:rPr>
          <w:color w:val="000000" w:themeColor="text1"/>
        </w:rPr>
      </w:pPr>
    </w:p>
    <w:p w14:paraId="5F11A8DE"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Cooking creates the most significant source of moisture on the first floor of most homes, with bathrooms creating the source of moisture most commonly on the second floor.</w:t>
      </w:r>
    </w:p>
    <w:p w14:paraId="0B176643"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Assume, of course, that there are no sliding glass doors that leak, no skylights that leak, no elaborate roof structures with valleys and pitches that are impossible to close off, and no flat roofs that will predictably leak. These are all standard practices in the suburban blight of so-called McMansions. </w:t>
      </w:r>
    </w:p>
    <w:p w14:paraId="6ECDD213"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47974611"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b/>
          <w:bCs/>
          <w:color w:val="0E101A"/>
          <w:lang w:val="fr-FR"/>
        </w:rPr>
        <w:t>3.10 Human Sources</w:t>
      </w:r>
    </w:p>
    <w:p w14:paraId="144A5D23" w14:textId="77777777" w:rsidR="00AA5826" w:rsidRDefault="00AA5826">
      <w:pPr>
        <w:pStyle w:val="Default"/>
        <w:spacing w:before="0" w:line="480" w:lineRule="auto"/>
        <w:rPr>
          <w:rFonts w:ascii="Times New Roman" w:eastAsia="Times New Roman" w:hAnsi="Times New Roman" w:cs="Times New Roman"/>
          <w:color w:val="0E101A"/>
        </w:rPr>
      </w:pPr>
    </w:p>
    <w:p w14:paraId="3D1A8196"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Human sources of moisture, such as breathing, also contribute to water availability inside the home. Leaking shower pipes are notorious for having small pinhole leaks above the sweat joint where a copper supply tube meets a plastic or PVC junction. These pinhole leaks are rarely visible in the bathroom side of a wall cavity, but if there is a closet that abuts the back of the wall cavity, that is where moisture will accumulate, and mold will grow. If the closet is closed most of the time, expect to find </w:t>
      </w:r>
      <w:r>
        <w:rPr>
          <w:rFonts w:ascii="Times New Roman" w:hAnsi="Times New Roman"/>
          <w:i/>
          <w:iCs/>
          <w:color w:val="0E101A"/>
        </w:rPr>
        <w:t>A. penicillioides</w:t>
      </w:r>
      <w:r>
        <w:rPr>
          <w:rFonts w:ascii="Times New Roman" w:hAnsi="Times New Roman"/>
          <w:color w:val="0E101A"/>
        </w:rPr>
        <w:t>. </w:t>
      </w:r>
      <w:r>
        <w:rPr>
          <w:rFonts w:ascii="Times New Roman" w:hAnsi="Times New Roman"/>
          <w:i/>
          <w:iCs/>
          <w:color w:val="0E101A"/>
        </w:rPr>
        <w:t>A. penicillioides</w:t>
      </w:r>
      <w:r>
        <w:rPr>
          <w:rFonts w:ascii="Times New Roman" w:hAnsi="Times New Roman"/>
          <w:color w:val="0E101A"/>
        </w:rPr>
        <w:t> does not like to be ventilated. </w:t>
      </w:r>
      <w:r>
        <w:rPr>
          <w:rFonts w:ascii="Times New Roman" w:hAnsi="Times New Roman"/>
          <w:i/>
          <w:iCs/>
          <w:color w:val="0E101A"/>
        </w:rPr>
        <w:t>A. penicillioides </w:t>
      </w:r>
      <w:r>
        <w:rPr>
          <w:rFonts w:ascii="Times New Roman" w:hAnsi="Times New Roman"/>
          <w:color w:val="0E101A"/>
        </w:rPr>
        <w:t>is present in bathroom vanities, behind refrigerators, at the end of hallways with poor ventilation, or in closets. Reduced ventilation can cause shoes in a closet to grow mold. </w:t>
      </w:r>
      <w:r>
        <w:rPr>
          <w:rFonts w:ascii="Times New Roman" w:hAnsi="Times New Roman"/>
          <w:i/>
          <w:iCs/>
          <w:color w:val="0E101A"/>
        </w:rPr>
        <w:t>A. penicillioides</w:t>
      </w:r>
      <w:r>
        <w:rPr>
          <w:rFonts w:ascii="Times New Roman" w:hAnsi="Times New Roman"/>
          <w:color w:val="0E101A"/>
        </w:rPr>
        <w:t> is also found on carpets, soft furnishings, and drapes. </w:t>
      </w:r>
    </w:p>
    <w:p w14:paraId="71CA3204"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6E9737BE" w14:textId="77777777" w:rsidR="00AA5826" w:rsidRDefault="00910327" w:rsidP="6DB205A6">
      <w:pPr>
        <w:pStyle w:val="Default"/>
        <w:spacing w:before="0" w:line="480" w:lineRule="auto"/>
        <w:rPr>
          <w:rFonts w:ascii="Times New Roman" w:eastAsia="Times New Roman" w:hAnsi="Times New Roman" w:cs="Times New Roman"/>
          <w:b/>
          <w:bCs/>
          <w:color w:val="0E101A"/>
        </w:rPr>
      </w:pPr>
      <w:r>
        <w:rPr>
          <w:rFonts w:ascii="Times New Roman" w:hAnsi="Times New Roman"/>
          <w:b/>
          <w:bCs/>
          <w:color w:val="0E101A"/>
        </w:rPr>
        <w:t>3.11 Decks</w:t>
      </w:r>
      <w:r>
        <w:rPr>
          <w:rFonts w:ascii="Times New Roman" w:hAnsi="Times New Roman"/>
          <w:color w:val="0E101A"/>
        </w:rPr>
        <w:t> </w:t>
      </w:r>
    </w:p>
    <w:p w14:paraId="257F8E02" w14:textId="57122DCF" w:rsidR="6DB205A6" w:rsidRDefault="6DB205A6" w:rsidP="6DB205A6">
      <w:pPr>
        <w:pStyle w:val="Default"/>
        <w:rPr>
          <w:color w:val="000000" w:themeColor="text1"/>
        </w:rPr>
      </w:pPr>
    </w:p>
    <w:p w14:paraId="5761F82E"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Adding decks makes for an enjoyable living. However, screwing the deck ribbon board into the foundation board of the home without ensuring adequate flashing can cause water coming off the deck understructure to enter the foundation. Consider well-graded patios made from pavers as a durable alternative to decks.</w:t>
      </w:r>
    </w:p>
    <w:p w14:paraId="6D71D07C"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702F6DEB" w14:textId="77777777" w:rsidR="00AA5826" w:rsidRDefault="00910327" w:rsidP="6DB205A6">
      <w:pPr>
        <w:pStyle w:val="Default"/>
        <w:spacing w:before="0" w:line="480" w:lineRule="auto"/>
        <w:rPr>
          <w:rFonts w:ascii="Times New Roman" w:eastAsia="Times New Roman" w:hAnsi="Times New Roman" w:cs="Times New Roman"/>
          <w:b/>
          <w:bCs/>
          <w:color w:val="0E101A"/>
        </w:rPr>
      </w:pPr>
      <w:r>
        <w:rPr>
          <w:rFonts w:ascii="Times New Roman" w:hAnsi="Times New Roman"/>
          <w:b/>
          <w:bCs/>
          <w:color w:val="0E101A"/>
        </w:rPr>
        <w:t>3.12 STILTS</w:t>
      </w:r>
    </w:p>
    <w:p w14:paraId="26114F61" w14:textId="5E72763F" w:rsidR="6DB205A6" w:rsidRDefault="6DB205A6" w:rsidP="6DB205A6">
      <w:pPr>
        <w:pStyle w:val="Default"/>
        <w:rPr>
          <w:color w:val="000000" w:themeColor="text1"/>
        </w:rPr>
      </w:pPr>
    </w:p>
    <w:p w14:paraId="02C72FCF"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A unique circumstance applies to coastal living. There is a financial benefit to building homes on elevated pilings, usually 8-10 feet off the sand, to avoid flood damage. For some people, this </w:t>
      </w:r>
      <w:proofErr w:type="gramStart"/>
      <w:r>
        <w:rPr>
          <w:rFonts w:ascii="Times New Roman" w:hAnsi="Times New Roman"/>
          <w:color w:val="0E101A"/>
        </w:rPr>
        <w:t>10-foot high</w:t>
      </w:r>
      <w:proofErr w:type="gramEnd"/>
      <w:r>
        <w:rPr>
          <w:rFonts w:ascii="Times New Roman" w:hAnsi="Times New Roman"/>
          <w:color w:val="0E101A"/>
        </w:rPr>
        <w:t xml:space="preserve"> space, the size of the footprint of the building, is too tempting. Just look at this ground-floor bonus room! This enclosed area is an outdoor fungal growth chamber sitting outside the entry door. Every time one goes in or out, there arises a vortex of unhealthy air entering the living space. Do not make extra storage space or living space by sacrificing health. </w:t>
      </w:r>
    </w:p>
    <w:p w14:paraId="738610EB"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295DEDC8"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b/>
          <w:bCs/>
          <w:color w:val="0E101A"/>
        </w:rPr>
        <w:t>4. Sequential activation of innate immune effects (SAIIE): defining causation  </w:t>
      </w:r>
    </w:p>
    <w:p w14:paraId="637805D2" w14:textId="77777777" w:rsidR="00AA5826" w:rsidRDefault="00AA5826">
      <w:pPr>
        <w:pStyle w:val="Default"/>
        <w:spacing w:before="0" w:line="480" w:lineRule="auto"/>
        <w:rPr>
          <w:rFonts w:ascii="Times New Roman" w:eastAsia="Times New Roman" w:hAnsi="Times New Roman" w:cs="Times New Roman"/>
          <w:color w:val="0E101A"/>
        </w:rPr>
      </w:pPr>
    </w:p>
    <w:p w14:paraId="4A28E5A6"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An adaptation of the treatment protocol permits a diagnostic, prospective re-exposure trial. Called "Sequential Activation of Innate Immune Effects (SAIIE)," this protocol demonstrates causation. As opposed to a case/control study, which lets us conclude an association of exposure with symptoms, VCS deficits, proteomics, or transcriptomic abnormalities, a prospective study design can confirm the presence of the epidemiologic concept of risk and causation.  </w:t>
      </w:r>
    </w:p>
    <w:p w14:paraId="4A586566"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16381D7A"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Perform an SAIIE trial on a known patient who meets the GAO case definition and use the Shoemaker Protocol to correct symptoms, VCS, and proteomics. Before starting, we know that the building suspected of making the patient ill is contaminated. We will also know that the building where the patient is staying is safe (using ERMI or HERTSMI-2). </w:t>
      </w:r>
    </w:p>
    <w:p w14:paraId="1721E545"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11558E55"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Obtain informed consent and start the first step after R.X. 1 (AC1, usually beginning on Friday). Record symptoms, VCS, and selected labs (C4a, MMP9, leptin, VEGF, and von Willebrand's profile). Stop all CIRS medications. The patient does not enter the suspect building for three days after being exposed to "the ubiquitous fungi of the world." On Monday morning, having completed the prospective trial of no-known exposure to a WDB, symptoms, VCS, repeat labs. This step, called Home Off Meds (HOC), ends with the blood draws on Monday. </w:t>
      </w:r>
    </w:p>
    <w:p w14:paraId="3DD1135A"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0AA96C6E"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The patient then enters the suspect building each day for three days, with study measures performed daily. Symptoms, VCS, and labs are performed on Tuesday AM showing us what happened on day 1 of re-exposure (BOC-1, Tuesday). The patient re-enters the building. Symptoms, VCS, and labs are performed on Wednesday, telling us what happened on day 2 of exposure (BOC-2). The patient returns to the WDB a third time, with symptoms, VCS, and labs done on Thursday (BOC-3), showing us what happened on Wednesday, day 3. If the building is causative, by BOC-3, VCS will fall, symptoms will increase to approximately 95% of initial levels; labs will show distinctive profiles sorted by day of trial. Because the lab changes are stereotyped, according to known physiology, apply a scoring system to quantitate recrudescence of symptoms and recrudescence of objective parameters. </w:t>
      </w:r>
    </w:p>
    <w:p w14:paraId="0236E82D"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4CD9FA52"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As an aside, this protocol readily shows the absence of validity to alternative hypotheses regarding causation, such as the presence of mycotoxins in urine reflecting fungal infection, for example. SAIIE certainly answers an employer's or school's question of "How do you know you are getting sick here?" The SAIIE is an antidote for the willful ignorance of employers responsible for WDBs.</w:t>
      </w:r>
    </w:p>
    <w:p w14:paraId="7ADA28FF"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5C576CDA"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b/>
          <w:bCs/>
          <w:color w:val="0E101A"/>
        </w:rPr>
        <w:t>5. Perspective on the Treatment of WDB</w:t>
      </w:r>
    </w:p>
    <w:p w14:paraId="463F29E8" w14:textId="2A277FEC" w:rsidR="00AA5826" w:rsidRDefault="00AA5826">
      <w:pPr>
        <w:pStyle w:val="Default"/>
        <w:spacing w:before="0" w:line="480" w:lineRule="auto"/>
      </w:pPr>
    </w:p>
    <w:p w14:paraId="5AAFCBD2"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The treatment protocol begins with the one step that has been called </w:t>
      </w:r>
      <w:r>
        <w:rPr>
          <w:rFonts w:ascii="Times New Roman" w:hAnsi="Times New Roman"/>
          <w:i/>
          <w:iCs/>
          <w:color w:val="0E101A"/>
        </w:rPr>
        <w:t>hardest of all</w:t>
      </w:r>
      <w:r>
        <w:rPr>
          <w:rFonts w:ascii="Times New Roman" w:hAnsi="Times New Roman"/>
          <w:color w:val="0E101A"/>
        </w:rPr>
        <w:t>: removal from exposure. Removal from exposure can mean moving away from a school, workplace, or residence. It can also mean removing particulates from the air and eliminating inflammagen reservoirs. Remediation of a building can be expensive. Alternatively, correction of particulate reservoirs can be agonizingly obsessive, especially with incomplete remediation. The advantage of clearing the air and reservoirs of particulates is that we are not talking about burning a house down or leaving all possessions, walking out with the clothes on one's back. One needs to correct the source of inhalation of particulates, eliminate all potential sources of contamination. However, it may be necessary to abandon the home and virtually all possessions under certain conditions. This decision can depend upon the home's value, remediation cost, genetic susceptibility, expression of biomarkers, and severity of continued symptoms.</w:t>
      </w:r>
    </w:p>
    <w:p w14:paraId="12673AC1"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53E7C475"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Here are a few remediation concepts. Follow the ABCs: </w:t>
      </w:r>
      <w:r>
        <w:rPr>
          <w:rFonts w:ascii="Times New Roman" w:hAnsi="Times New Roman"/>
          <w:b/>
          <w:bCs/>
          <w:color w:val="0E101A"/>
        </w:rPr>
        <w:t>A</w:t>
      </w:r>
      <w:r>
        <w:rPr>
          <w:rFonts w:ascii="Times New Roman" w:hAnsi="Times New Roman"/>
          <w:color w:val="0E101A"/>
        </w:rPr>
        <w:t>bate the water intrusion. </w:t>
      </w:r>
      <w:r>
        <w:rPr>
          <w:rFonts w:ascii="Times New Roman" w:hAnsi="Times New Roman"/>
          <w:b/>
          <w:bCs/>
          <w:color w:val="0E101A"/>
        </w:rPr>
        <w:t>B</w:t>
      </w:r>
      <w:r>
        <w:rPr>
          <w:rFonts w:ascii="Times New Roman" w:hAnsi="Times New Roman"/>
          <w:color w:val="0E101A"/>
        </w:rPr>
        <w:t>uilding materials that are contaminated must be removed (or be encapsulated if structurally irreplaceable). One must </w:t>
      </w:r>
      <w:r>
        <w:rPr>
          <w:rFonts w:ascii="Times New Roman" w:hAnsi="Times New Roman"/>
          <w:b/>
          <w:bCs/>
          <w:color w:val="0E101A"/>
        </w:rPr>
        <w:t>C</w:t>
      </w:r>
      <w:r>
        <w:rPr>
          <w:rFonts w:ascii="Times New Roman" w:hAnsi="Times New Roman"/>
          <w:color w:val="0E101A"/>
        </w:rPr>
        <w:t>lean reservoirs of contamination from possessions, air, walls, floors, and ceilings. Every room must be cleaned in a given building if air from one room could get into another. Even though many individuals will not be affected by CIRS, cleaning must be performed, assuming that all who enter the rooms in the future are CIRS patients. Finally, if a remediator does not use HERTSMI-2, one cannot presume the building is safe for a CIRS patient to re-occupy. </w:t>
      </w:r>
    </w:p>
    <w:p w14:paraId="2C6BD880"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343A1849"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By taking another look at the section on WDB definition, we can look at our checklist of what is present and not present. In other words, it is a checklist of safe and unsafe features of a house. We know that there is no such thing as a safe basement, even though people do all they can to make such structures safe. A dedicated air purifier running should run continuously in the basement. We look for maintenance of ambient humidity to be less than 55%. Sometimes that will require using a dehumidifier with a pump to push the water outside.  </w:t>
      </w:r>
    </w:p>
    <w:p w14:paraId="5561E1DE"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6EC48468" w14:textId="47A73B5D" w:rsidR="00AA5826" w:rsidRDefault="00910327" w:rsidP="6DB205A6">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To prevent exposure, one can use the "three machines" approach. This approach will employ an air sanitizer as the "heavy lifter." The author has no conflicts of interest to disclose in this regard but does use Air Oasis devices as an air sanitizer of choice. A paper from 2019 showed iAdaptAir corrected transcriptomic abnormalities in a CIRS case without causing adverse changes in a control patient.   </w:t>
      </w:r>
    </w:p>
    <w:p w14:paraId="09961B2B" w14:textId="09424222" w:rsidR="6DB205A6" w:rsidRDefault="6DB205A6" w:rsidP="6DB205A6">
      <w:pPr>
        <w:pStyle w:val="Default"/>
        <w:rPr>
          <w:color w:val="000000" w:themeColor="text1"/>
        </w:rPr>
      </w:pPr>
    </w:p>
    <w:p w14:paraId="241D7DBC"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The second machine is a HEPA filter. HEPA means high-efficiency particulate air. It involves passing air in an indoor environment through a filter that is 0.3 microns in diameter. Use HEPA filters on each floor of a building. The crawl space or the basement should have a HEPA unit that does not move to the main house. Moving the HEPA units about every twelve hours helps deal with the boundary layer problem. Finally, with an Air Oasis sanitizer, particulates in the air become heavy enough to fall to the floor. We must have a mechanism to vacuum these particulates up and remove them from the indoor space. So, the three machines are an air sanitizer, HEPA filter, and HEPA vacuum cleaner.  </w:t>
      </w:r>
    </w:p>
    <w:p w14:paraId="3B7B4B86"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2C5D6D17"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b/>
          <w:bCs/>
          <w:color w:val="0E101A"/>
          <w:lang w:val="fr-FR"/>
        </w:rPr>
        <w:t>6. Transcriptomics</w:t>
      </w:r>
      <w:r>
        <w:rPr>
          <w:rFonts w:ascii="Times New Roman" w:hAnsi="Times New Roman"/>
          <w:color w:val="0E101A"/>
        </w:rPr>
        <w:t> </w:t>
      </w:r>
    </w:p>
    <w:p w14:paraId="3A0FF5F2" w14:textId="77777777" w:rsidR="00AA5826" w:rsidRDefault="00AA5826">
      <w:pPr>
        <w:pStyle w:val="Default"/>
        <w:spacing w:before="0" w:line="480" w:lineRule="auto"/>
        <w:rPr>
          <w:rFonts w:ascii="Times New Roman" w:eastAsia="Times New Roman" w:hAnsi="Times New Roman" w:cs="Times New Roman"/>
          <w:color w:val="0E101A"/>
        </w:rPr>
      </w:pPr>
    </w:p>
    <w:p w14:paraId="412E34AF"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In the annals of medical history, some advances have changed both the art and science of the practice of medicine. A few we learned about in high school. Edward Jenner worked to prevent smallpox by inoculation with cowpox. Sterilization from Joseph Lister also comes to mind. There was Louis Pasteur and the germ theory. Robert Koch and his proof of microbiologic causation, not to mention Semmelweis with his insights into the prevention of childbed fever and maternal/fetal loss, were revered pioneers. Technical advances included radiation for x-ray machines, with C.T. and MRI scans in succession. Indeed, automated blood chemistries, not to mention advances in the development of antibiotics, beginning with penicillin and sulfa extending to the modern armamentarium of effective oral and parenteral bacteria-killers, were significant achievements. The new T-cell cancer therapies may soon be next. </w:t>
      </w:r>
    </w:p>
    <w:p w14:paraId="48D3F40D"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7BFE78AF"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However, even these revolutionary advances pale compared with work done in the early 2000s in the Human Genome Project. While Watson and Crick get credit for discovering DNA, it was the ability to identify individual genes that have heralded the advances we now see. Who knew that there would only be 50,000 genes: 20,000 protein-coding and 30,000 non-protein-coding? There is much complexity of protein interaction and diversity of diseases, which have roots in genes and gene activity. Objectively, 50,000 seems like a small number.  </w:t>
      </w:r>
    </w:p>
    <w:p w14:paraId="222CCC41"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66578928"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The initial 3-5 billion dollars spent to sequence the human genome seems like an overwhelming hurdle that practitioners would have to clear before manipulation of gene activity came to primary care. In just ten years, however, automated sequencing devices brought next-generation sequencing and RNA Seq into practice resulting in the entire human genome sequencing presently costing $5000, not 5 billion. What an achievement!  </w:t>
      </w:r>
    </w:p>
    <w:p w14:paraId="7BFC34AB"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2CFEB858"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b/>
          <w:bCs/>
          <w:color w:val="0E101A"/>
        </w:rPr>
        <w:t>7. For the Future</w:t>
      </w:r>
    </w:p>
    <w:p w14:paraId="5630AD66" w14:textId="77777777" w:rsidR="00AA5826" w:rsidRDefault="00AA5826">
      <w:pPr>
        <w:pStyle w:val="Default"/>
        <w:spacing w:before="0" w:line="480" w:lineRule="auto"/>
        <w:rPr>
          <w:rFonts w:ascii="Times New Roman" w:eastAsia="Times New Roman" w:hAnsi="Times New Roman" w:cs="Times New Roman"/>
          <w:color w:val="0E101A"/>
        </w:rPr>
      </w:pPr>
    </w:p>
    <w:p w14:paraId="41C59CEE" w14:textId="4470F6A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Presently, there is no limit to the questions raised by the transcriptomic findings accumulated to date. Sometimes the more essential features of a new paradigm are not simply what is true but what was incorrect about older ideas. As we return to Aldous Huxley telling us: "The key to understanding is casting out false knowledge." It appears we are "casting out" every day. Let us not forget that only a few ideas in the sciences survive the passage of time. </w:t>
      </w:r>
    </w:p>
    <w:p w14:paraId="2CA4ECA7"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4EE43A65"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Simple acts of "casting out" in the domain of transcriptomics let us see that viral reactivation is not likely to be a root cause of chronic fatigue syndrome, despite antibody testing that appears significant. Another is the diagnosis of "mycotoxin illness," already exposed earlier as flawed. With the ability to define the expected differential gene activation associated with mycotoxin exposure from the literature, we can determine what is likely associated with pathologic changes after mycotoxin exposure and what is not. Remember that in CIRS-WDB, we see suspected endotoxin effects in over 50% of cases, closely followed by suspected incidence by actinobacteria. Mycotoxin findings are a distant third.  </w:t>
      </w:r>
    </w:p>
    <w:p w14:paraId="157D6B25"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79E427E6"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036BE1F9"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We must also consider the role of several compensatory metabolic mechanisms due to hypometabolism. If mitochondrial injury from a ribotoxin attack on mitochondrial ribosomes (mitoribosomes) is present, the cell will not shuttle its usual amount of the fuel source pyruvate, created by glycolysis, into mitochondria. Excess pyruvate not taken into the mitochondria would otherwise convert to lactic acid, an intracellular poison. How does the cell avoid dying from lactic acid? It reduces glycolysis. Curiously, in the presence of interferon-gamma, one of the enzymes that does the work in glycolysis (GAPDH) also interacts with ribosomal protein L13a and a transfer RNA (EPRS) to form a protein complex called GAIT. The GAIT complex will bind to a specific set of messenger RNA in the cell to curb inflammation.  </w:t>
      </w:r>
    </w:p>
    <w:p w14:paraId="566C1BCE"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580529D1"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We are building a database to show what role the insulin receptor has in hypometabolism. We have exciting findings on insulin receptor substrate-2(IRS-2). The data show great promise. </w:t>
      </w:r>
    </w:p>
    <w:p w14:paraId="1DB36F4A"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399C56EE"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The sustained finding of genes which contribute to defective apoptosis also holds great promise. We see one particular gene repeatedly in patients with abnormalities in the caspase-driven mechanism of programmed cell death. If the dying cell, programmed to be lysed by natural killer cells and cytotoxic T cells, fails to safely "package" its intracellular materials that are intensely </w:t>
      </w:r>
      <w:proofErr w:type="spellStart"/>
      <w:r>
        <w:rPr>
          <w:rFonts w:ascii="Times New Roman" w:hAnsi="Times New Roman"/>
          <w:color w:val="0E101A"/>
        </w:rPr>
        <w:t>inflammogenic</w:t>
      </w:r>
      <w:proofErr w:type="spellEnd"/>
      <w:r>
        <w:rPr>
          <w:rFonts w:ascii="Times New Roman" w:hAnsi="Times New Roman"/>
          <w:color w:val="0E101A"/>
        </w:rPr>
        <w:t xml:space="preserve"> before lysis, damage will occur. If cellular contents, especially DNA, are released freely into circulation, we will have an endogenous source of inflammatory response. As Pogo told us, "We have met the enemy, and he is us." </w:t>
      </w:r>
    </w:p>
    <w:p w14:paraId="28D17827"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50A97D3A"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Upcoming investigations are focused on the correlation of abnormal NeuroQuant findings with early dementia. We hope to bridge the gap between unknown gene activity in brain tissue and known activity in blood cells by looking at tau in spinal fluid and simultaneous transcriptomics. We cannot use brain tissue for gene expression studies. However, we may have a biomarker in blood to correlate to NeuroQuant abnormalities, and cognitive decline as one of the genes on our GENIE found overexpressed in CIRS patients and found in beta-amyloid plaques. </w:t>
      </w:r>
    </w:p>
    <w:p w14:paraId="5D86C630"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30D5FF30"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The commonly found differential activation of coagulation genes responsive to VIP provides another reachable window for intervention. </w:t>
      </w:r>
    </w:p>
    <w:p w14:paraId="61829076" w14:textId="77777777" w:rsidR="00AA5826" w:rsidRDefault="00AA5826">
      <w:pPr>
        <w:pStyle w:val="Default"/>
        <w:spacing w:before="0" w:line="480" w:lineRule="auto"/>
        <w:rPr>
          <w:rFonts w:ascii="Times New Roman" w:eastAsia="Times New Roman" w:hAnsi="Times New Roman" w:cs="Times New Roman"/>
          <w:color w:val="0E101A"/>
        </w:rPr>
      </w:pPr>
    </w:p>
    <w:p w14:paraId="28F67B98" w14:textId="77777777" w:rsidR="00AA5826" w:rsidRDefault="00910327" w:rsidP="6DB205A6">
      <w:pPr>
        <w:pStyle w:val="Default"/>
        <w:spacing w:before="0" w:line="480" w:lineRule="auto"/>
        <w:rPr>
          <w:rFonts w:ascii="Times New Roman" w:eastAsia="Times New Roman" w:hAnsi="Times New Roman" w:cs="Times New Roman"/>
          <w:b/>
          <w:bCs/>
          <w:color w:val="0E101A"/>
        </w:rPr>
      </w:pPr>
      <w:r>
        <w:rPr>
          <w:rFonts w:ascii="Times New Roman" w:hAnsi="Times New Roman"/>
          <w:b/>
          <w:bCs/>
          <w:color w:val="0E101A"/>
        </w:rPr>
        <w:t>8. Summary</w:t>
      </w:r>
      <w:r>
        <w:rPr>
          <w:rFonts w:ascii="Times New Roman" w:hAnsi="Times New Roman"/>
          <w:color w:val="0E101A"/>
        </w:rPr>
        <w:t>  </w:t>
      </w:r>
    </w:p>
    <w:p w14:paraId="75EB4A71" w14:textId="5D4F6B4F" w:rsidR="6DB205A6" w:rsidRDefault="6DB205A6" w:rsidP="6DB205A6">
      <w:pPr>
        <w:pStyle w:val="Default"/>
        <w:rPr>
          <w:color w:val="000000" w:themeColor="text1"/>
        </w:rPr>
      </w:pPr>
    </w:p>
    <w:p w14:paraId="54A402B1"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The story of CIRS could fit into Thomas Kuhn's Structure of a Scientific Revolution. What began as an </w:t>
      </w:r>
      <w:r>
        <w:rPr>
          <w:rFonts w:ascii="Times New Roman" w:hAnsi="Times New Roman"/>
          <w:i/>
          <w:iCs/>
          <w:color w:val="0E101A"/>
        </w:rPr>
        <w:t>anomaly</w:t>
      </w:r>
      <w:r>
        <w:rPr>
          <w:rFonts w:ascii="Times New Roman" w:hAnsi="Times New Roman"/>
          <w:color w:val="0E101A"/>
        </w:rPr>
        <w:t>, an isolated observation of fish kills and human illness from exposure to </w:t>
      </w:r>
      <w:r>
        <w:rPr>
          <w:rFonts w:ascii="Times New Roman" w:hAnsi="Times New Roman"/>
          <w:i/>
          <w:iCs/>
          <w:color w:val="0E101A"/>
          <w:lang w:val="es-ES_tradnl"/>
        </w:rPr>
        <w:t>Pfiesteria</w:t>
      </w:r>
      <w:r>
        <w:rPr>
          <w:rFonts w:ascii="Times New Roman" w:hAnsi="Times New Roman"/>
          <w:color w:val="0E101A"/>
        </w:rPr>
        <w:t>, a dinoflagellate, has expanded over the past twenty-three years to an integrated </w:t>
      </w:r>
      <w:r>
        <w:rPr>
          <w:rFonts w:ascii="Times New Roman" w:hAnsi="Times New Roman"/>
          <w:i/>
          <w:iCs/>
          <w:color w:val="0E101A"/>
          <w:lang w:val="da-DK"/>
        </w:rPr>
        <w:t>paradigm</w:t>
      </w:r>
      <w:r>
        <w:rPr>
          <w:rFonts w:ascii="Times New Roman" w:hAnsi="Times New Roman"/>
          <w:color w:val="0E101A"/>
        </w:rPr>
        <w:t> of an entirely new illness concept that for the first time provides a supported, evidence-based explanation for countless chronic fatiguing illnesses. There may be no "modern illness" paradigm that has </w:t>
      </w:r>
      <w:r>
        <w:rPr>
          <w:rFonts w:ascii="Times New Roman" w:hAnsi="Times New Roman"/>
          <w:i/>
          <w:iCs/>
          <w:color w:val="0E101A"/>
        </w:rPr>
        <w:t>more supporting biomarkers</w:t>
      </w:r>
      <w:r>
        <w:rPr>
          <w:rFonts w:ascii="Times New Roman" w:hAnsi="Times New Roman"/>
          <w:color w:val="0E101A"/>
        </w:rPr>
        <w:t> than CIRS: beginning with exposure assessments, especially use of HERTSMI-2 for CIRS-WDB, cluster analysis of symptoms, and labs ranging to proteomics and transcriptomics. Including volumetric studies of brain injury, stress echocardiogram measurements, and VO2 max, the diagnosis and treatment are buttressed by association studies, prospective re-exposure trials using a published protocol (SAIIE), and randomized clinical trials. The use of published protocols has corrected proteomics, transcriptomics, and grey matter nuclear atrophy. </w:t>
      </w:r>
    </w:p>
    <w:p w14:paraId="5380F020"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0F3C99C0"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This density of objective biomarkers confirms diagnosis and treatment, backed by nearly 40 published papers and clinical use by thousands of physicians. As the research of CIRS continues to expand, CIRS may provide the basis to look for new approaches to inflammatory illnesses of our era, especially atherosclerosis, obesity, diabetes, and chronic pain. </w:t>
      </w:r>
    </w:p>
    <w:p w14:paraId="3F8C8A50"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656D179F"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Hope now rests on hard clinical trials that show us how to help those trapped by WDB, among other causes of CIRS. The answers to the causes of chronic fatigue are apparent. Effective gene-based therapies also are apparent. Now that the magic of transcriptomics, differential gene activation is available, we no longer have to guess about treatment. In data, we will find our answers for today's hope and tomorrow's standard of care. </w:t>
      </w:r>
    </w:p>
    <w:p w14:paraId="2BA226A1" w14:textId="77777777" w:rsidR="00AA5826" w:rsidRDefault="00AA5826">
      <w:pPr>
        <w:pStyle w:val="Default"/>
        <w:spacing w:before="0" w:line="480" w:lineRule="auto"/>
        <w:rPr>
          <w:rFonts w:ascii="Times New Roman" w:eastAsia="Times New Roman" w:hAnsi="Times New Roman" w:cs="Times New Roman"/>
          <w:color w:val="0E101A"/>
        </w:rPr>
      </w:pPr>
    </w:p>
    <w:p w14:paraId="621126EC" w14:textId="77777777" w:rsidR="00AA5826" w:rsidRDefault="00910327">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Unfortunately, patients who return to health will need to establish a life outside of all exposure. The reality is that their homes, work, and school must remain pristine for the rest of their lives to maintain health. The social implications are profound but are part of the only known path back to the restoration of health. With the significant evidence for CIRS, public policy must catch up with cutting-edge medical developments. We must ensure that the 24% of the population susceptible to WDB can exercise its right to live, work, and go to school in safe buildings. </w:t>
      </w:r>
    </w:p>
    <w:p w14:paraId="17AD93B2" w14:textId="77777777" w:rsidR="00AA5826" w:rsidRDefault="00AA5826">
      <w:pPr>
        <w:pStyle w:val="Default"/>
        <w:spacing w:before="0" w:line="480" w:lineRule="auto"/>
        <w:rPr>
          <w:rFonts w:ascii="Times New Roman" w:eastAsia="Times New Roman" w:hAnsi="Times New Roman" w:cs="Times New Roman"/>
          <w:color w:val="0E101A"/>
        </w:rPr>
      </w:pPr>
    </w:p>
    <w:p w14:paraId="071E4E01" w14:textId="77777777" w:rsidR="00AA5826" w:rsidRDefault="00910327">
      <w:pPr>
        <w:pStyle w:val="Default"/>
        <w:spacing w:before="0" w:line="480" w:lineRule="auto"/>
        <w:rPr>
          <w:rFonts w:ascii="Times New Roman" w:eastAsia="Times New Roman" w:hAnsi="Times New Roman" w:cs="Times New Roman"/>
          <w:b/>
          <w:bCs/>
          <w:color w:val="0E101A"/>
        </w:rPr>
      </w:pPr>
      <w:r>
        <w:rPr>
          <w:rFonts w:ascii="Times New Roman" w:hAnsi="Times New Roman"/>
          <w:b/>
          <w:bCs/>
          <w:color w:val="0E101A"/>
        </w:rPr>
        <w:t>References</w:t>
      </w:r>
    </w:p>
    <w:p w14:paraId="0DE4B5B7" w14:textId="77777777" w:rsidR="00AA5826" w:rsidRDefault="00AA5826">
      <w:pPr>
        <w:pStyle w:val="Default"/>
        <w:spacing w:before="0" w:line="480" w:lineRule="auto"/>
        <w:rPr>
          <w:rFonts w:ascii="Times New Roman" w:eastAsia="Times New Roman" w:hAnsi="Times New Roman" w:cs="Times New Roman"/>
          <w:b/>
          <w:bCs/>
          <w:color w:val="0E101A"/>
        </w:rPr>
      </w:pPr>
    </w:p>
    <w:p w14:paraId="11726BB5" w14:textId="77777777" w:rsidR="00AA5826" w:rsidRDefault="00910327">
      <w:pPr>
        <w:pStyle w:val="Default"/>
        <w:spacing w:before="0" w:line="480" w:lineRule="auto"/>
        <w:rPr>
          <w:rFonts w:ascii="Times New Roman" w:eastAsia="Times New Roman" w:hAnsi="Times New Roman" w:cs="Times New Roman"/>
          <w:color w:val="323232"/>
          <w:shd w:val="clear" w:color="auto" w:fill="FFFFFF"/>
        </w:rPr>
      </w:pPr>
      <w:r>
        <w:rPr>
          <w:rFonts w:ascii="Times New Roman" w:hAnsi="Times New Roman"/>
          <w:color w:val="323232"/>
          <w:shd w:val="clear" w:color="auto" w:fill="FFFFFF"/>
          <w:lang w:val="fr-FR"/>
        </w:rPr>
        <w:t xml:space="preserve">Bouquet, </w:t>
      </w:r>
      <w:proofErr w:type="spellStart"/>
      <w:r>
        <w:rPr>
          <w:rFonts w:ascii="Times New Roman" w:hAnsi="Times New Roman"/>
          <w:color w:val="323232"/>
          <w:shd w:val="clear" w:color="auto" w:fill="FFFFFF"/>
          <w:lang w:val="fr-FR"/>
        </w:rPr>
        <w:t>Jerome</w:t>
      </w:r>
      <w:proofErr w:type="spellEnd"/>
      <w:r>
        <w:rPr>
          <w:rFonts w:ascii="Times New Roman" w:hAnsi="Times New Roman"/>
          <w:color w:val="323232"/>
          <w:shd w:val="clear" w:color="auto" w:fill="FFFFFF"/>
          <w:lang w:val="fr-FR"/>
        </w:rPr>
        <w:t xml:space="preserve">, et al. </w:t>
      </w:r>
      <w:r>
        <w:rPr>
          <w:rFonts w:ascii="Times New Roman" w:hAnsi="Times New Roman"/>
          <w:color w:val="323232"/>
          <w:shd w:val="clear" w:color="auto" w:fill="FFFFFF"/>
          <w:rtl/>
          <w:lang w:val="ar-SA"/>
        </w:rPr>
        <w:t>“</w:t>
      </w:r>
      <w:r>
        <w:rPr>
          <w:rFonts w:ascii="Times New Roman" w:hAnsi="Times New Roman"/>
          <w:color w:val="323232"/>
          <w:shd w:val="clear" w:color="auto" w:fill="FFFFFF"/>
        </w:rPr>
        <w:t xml:space="preserve">Longitudinal Transcriptome Analysis Reveals a Sustained Differential Gene Expression Signature in Patients Treated for Acute Lyme Disease.” </w:t>
      </w:r>
      <w:r>
        <w:rPr>
          <w:rFonts w:ascii="Times New Roman" w:hAnsi="Times New Roman"/>
          <w:i/>
          <w:iCs/>
          <w:color w:val="323232"/>
          <w:shd w:val="clear" w:color="auto" w:fill="FFFFFF"/>
        </w:rPr>
        <w:t>MBio</w:t>
      </w:r>
      <w:r>
        <w:rPr>
          <w:rFonts w:ascii="Times New Roman" w:hAnsi="Times New Roman"/>
          <w:color w:val="323232"/>
          <w:shd w:val="clear" w:color="auto" w:fill="FFFFFF"/>
          <w:lang w:val="pt-PT"/>
        </w:rPr>
        <w:t>, vol. 7, no. 1, 2016, https://doi.org/10.1128/mbio.00100-16.</w:t>
      </w:r>
    </w:p>
    <w:p w14:paraId="430E14DD" w14:textId="77777777" w:rsidR="00AA5826" w:rsidRDefault="00910327">
      <w:pPr>
        <w:pStyle w:val="Default"/>
        <w:spacing w:before="0" w:line="480" w:lineRule="auto"/>
        <w:rPr>
          <w:rFonts w:ascii="Times New Roman" w:eastAsia="Times New Roman" w:hAnsi="Times New Roman" w:cs="Times New Roman"/>
          <w:color w:val="323232"/>
          <w:shd w:val="clear" w:color="auto" w:fill="FFFFFF"/>
        </w:rPr>
      </w:pPr>
      <w:r>
        <w:rPr>
          <w:rFonts w:ascii="Times New Roman" w:hAnsi="Times New Roman"/>
          <w:color w:val="323232"/>
          <w:shd w:val="clear" w:color="auto" w:fill="FFFFFF"/>
        </w:rPr>
        <w:t xml:space="preserve">Johansson, E., et al. </w:t>
      </w:r>
      <w:r>
        <w:rPr>
          <w:rFonts w:ascii="Times New Roman" w:hAnsi="Times New Roman"/>
          <w:color w:val="323232"/>
          <w:shd w:val="clear" w:color="auto" w:fill="FFFFFF"/>
          <w:rtl/>
          <w:lang w:val="ar-SA"/>
        </w:rPr>
        <w:t>“</w:t>
      </w:r>
      <w:r>
        <w:rPr>
          <w:rFonts w:ascii="Times New Roman" w:hAnsi="Times New Roman"/>
          <w:color w:val="323232"/>
          <w:shd w:val="clear" w:color="auto" w:fill="FFFFFF"/>
        </w:rPr>
        <w:t xml:space="preserve">Streptomycetes in House Dust: Associations with Housing Characteristics and Endotoxin.” </w:t>
      </w:r>
      <w:r>
        <w:rPr>
          <w:rFonts w:ascii="Times New Roman" w:hAnsi="Times New Roman"/>
          <w:i/>
          <w:iCs/>
          <w:color w:val="323232"/>
          <w:shd w:val="clear" w:color="auto" w:fill="FFFFFF"/>
          <w:lang w:val="nl-NL"/>
        </w:rPr>
        <w:t>Indoor Air</w:t>
      </w:r>
      <w:r>
        <w:rPr>
          <w:rFonts w:ascii="Times New Roman" w:hAnsi="Times New Roman"/>
          <w:color w:val="323232"/>
          <w:shd w:val="clear" w:color="auto" w:fill="FFFFFF"/>
          <w:lang w:val="pt-PT"/>
        </w:rPr>
        <w:t>, vol. 21, no. 4, 2011, pp. 300</w:t>
      </w:r>
      <w:r>
        <w:rPr>
          <w:rFonts w:ascii="Times New Roman" w:hAnsi="Times New Roman"/>
          <w:color w:val="323232"/>
          <w:shd w:val="clear" w:color="auto" w:fill="FFFFFF"/>
        </w:rPr>
        <w:t>–310., https://doi.org/10.1111/j.1600-0668.2010.00702.x.</w:t>
      </w:r>
    </w:p>
    <w:p w14:paraId="6AE3A409" w14:textId="77777777" w:rsidR="00AA5826" w:rsidRDefault="00910327">
      <w:pPr>
        <w:pStyle w:val="Default"/>
        <w:spacing w:before="0" w:line="480" w:lineRule="auto"/>
        <w:rPr>
          <w:rFonts w:ascii="Times New Roman" w:eastAsia="Times New Roman" w:hAnsi="Times New Roman" w:cs="Times New Roman"/>
          <w:color w:val="323232"/>
          <w:shd w:val="clear" w:color="auto" w:fill="FFFFFF"/>
        </w:rPr>
      </w:pPr>
      <w:r>
        <w:rPr>
          <w:rFonts w:ascii="Times New Roman" w:hAnsi="Times New Roman"/>
          <w:color w:val="323232"/>
          <w:shd w:val="clear" w:color="auto" w:fill="FFFFFF"/>
        </w:rPr>
        <w:t xml:space="preserve">Kawamoto, M, and E Page. </w:t>
      </w:r>
      <w:r>
        <w:rPr>
          <w:rFonts w:ascii="Times New Roman" w:hAnsi="Times New Roman"/>
          <w:color w:val="323232"/>
          <w:shd w:val="clear" w:color="auto" w:fill="FFFFFF"/>
          <w:rtl/>
          <w:lang w:val="ar-SA"/>
        </w:rPr>
        <w:t>“</w:t>
      </w:r>
      <w:r>
        <w:rPr>
          <w:rFonts w:ascii="Times New Roman" w:hAnsi="Times New Roman"/>
          <w:color w:val="323232"/>
          <w:shd w:val="clear" w:color="auto" w:fill="FFFFFF"/>
        </w:rPr>
        <w:t xml:space="preserve">Notes from the Field: Use of Unvalidated Urine Mycotoxin Tests for the Clinical Diagnosis of Illness.” </w:t>
      </w:r>
      <w:proofErr w:type="gramStart"/>
      <w:r>
        <w:rPr>
          <w:rFonts w:ascii="Times New Roman" w:hAnsi="Times New Roman"/>
          <w:i/>
          <w:iCs/>
          <w:color w:val="323232"/>
          <w:shd w:val="clear" w:color="auto" w:fill="FFFFFF"/>
        </w:rPr>
        <w:t xml:space="preserve">MMWR </w:t>
      </w:r>
      <w:r>
        <w:rPr>
          <w:rFonts w:ascii="Times New Roman" w:hAnsi="Times New Roman"/>
          <w:color w:val="323232"/>
          <w:shd w:val="clear" w:color="auto" w:fill="FFFFFF"/>
          <w:lang w:val="pt-PT"/>
        </w:rPr>
        <w:t>,</w:t>
      </w:r>
      <w:proofErr w:type="gramEnd"/>
      <w:r>
        <w:rPr>
          <w:rFonts w:ascii="Times New Roman" w:hAnsi="Times New Roman"/>
          <w:color w:val="323232"/>
          <w:shd w:val="clear" w:color="auto" w:fill="FFFFFF"/>
          <w:lang w:val="pt-PT"/>
        </w:rPr>
        <w:t xml:space="preserve"> vol. 64, no. 6, 2014, pp. 157</w:t>
      </w:r>
      <w:r>
        <w:rPr>
          <w:rFonts w:ascii="Times New Roman" w:hAnsi="Times New Roman"/>
          <w:color w:val="323232"/>
          <w:shd w:val="clear" w:color="auto" w:fill="FFFFFF"/>
        </w:rPr>
        <w:t>–158.</w:t>
      </w:r>
    </w:p>
    <w:p w14:paraId="659D90BE" w14:textId="77777777" w:rsidR="00AA5826" w:rsidRDefault="00910327">
      <w:pPr>
        <w:pStyle w:val="Default"/>
        <w:spacing w:before="0" w:line="480" w:lineRule="auto"/>
        <w:rPr>
          <w:rFonts w:ascii="Times New Roman" w:eastAsia="Times New Roman" w:hAnsi="Times New Roman" w:cs="Times New Roman"/>
          <w:color w:val="323232"/>
          <w:shd w:val="clear" w:color="auto" w:fill="FFFFFF"/>
        </w:rPr>
      </w:pPr>
      <w:r>
        <w:rPr>
          <w:rFonts w:ascii="Times New Roman" w:hAnsi="Times New Roman"/>
          <w:color w:val="323232"/>
          <w:shd w:val="clear" w:color="auto" w:fill="FFFFFF"/>
        </w:rPr>
        <w:t xml:space="preserve">Keller, Betsy A, et al. </w:t>
      </w:r>
      <w:r>
        <w:rPr>
          <w:rFonts w:ascii="Times New Roman" w:hAnsi="Times New Roman"/>
          <w:color w:val="323232"/>
          <w:shd w:val="clear" w:color="auto" w:fill="FFFFFF"/>
          <w:rtl/>
          <w:lang w:val="ar-SA"/>
        </w:rPr>
        <w:t>“</w:t>
      </w:r>
      <w:r>
        <w:rPr>
          <w:rFonts w:ascii="Times New Roman" w:hAnsi="Times New Roman"/>
          <w:color w:val="323232"/>
          <w:shd w:val="clear" w:color="auto" w:fill="FFFFFF"/>
        </w:rPr>
        <w:t xml:space="preserve">Inability of Myalgic Encephalomyelitis/Chronic Fatigue Syndrome Patients to Reproduce VO2peak Indicates Functional Impairment.” </w:t>
      </w:r>
      <w:r>
        <w:rPr>
          <w:rFonts w:ascii="Times New Roman" w:hAnsi="Times New Roman"/>
          <w:i/>
          <w:iCs/>
          <w:color w:val="323232"/>
          <w:shd w:val="clear" w:color="auto" w:fill="FFFFFF"/>
        </w:rPr>
        <w:t>Journal of Translational Medicine</w:t>
      </w:r>
      <w:r>
        <w:rPr>
          <w:rFonts w:ascii="Times New Roman" w:hAnsi="Times New Roman"/>
          <w:color w:val="323232"/>
          <w:shd w:val="clear" w:color="auto" w:fill="FFFFFF"/>
          <w:lang w:val="pt-PT"/>
        </w:rPr>
        <w:t>, vol. 12, no. 1, 2014, p. 104., https://doi.org/10.1186/1479-5876-12-104.</w:t>
      </w:r>
    </w:p>
    <w:p w14:paraId="3AD935ED" w14:textId="77777777" w:rsidR="00AA5826" w:rsidRDefault="00910327">
      <w:pPr>
        <w:pStyle w:val="Default"/>
        <w:spacing w:before="0" w:line="480" w:lineRule="auto"/>
        <w:rPr>
          <w:rFonts w:ascii="Times New Roman" w:eastAsia="Times New Roman" w:hAnsi="Times New Roman" w:cs="Times New Roman"/>
          <w:color w:val="323232"/>
          <w:shd w:val="clear" w:color="auto" w:fill="FFFFFF"/>
        </w:rPr>
      </w:pPr>
      <w:r>
        <w:rPr>
          <w:rFonts w:ascii="Times New Roman" w:hAnsi="Times New Roman"/>
          <w:color w:val="323232"/>
          <w:shd w:val="clear" w:color="auto" w:fill="FFFFFF"/>
          <w:lang w:val="fr-FR"/>
        </w:rPr>
        <w:t xml:space="preserve">McMahon, S, et al. </w:t>
      </w:r>
      <w:r>
        <w:rPr>
          <w:rFonts w:ascii="Times New Roman" w:hAnsi="Times New Roman"/>
          <w:color w:val="323232"/>
          <w:shd w:val="clear" w:color="auto" w:fill="FFFFFF"/>
          <w:rtl/>
          <w:lang w:val="ar-SA"/>
        </w:rPr>
        <w:t>“</w:t>
      </w:r>
      <w:r>
        <w:rPr>
          <w:rFonts w:ascii="Times New Roman" w:hAnsi="Times New Roman"/>
          <w:color w:val="323232"/>
          <w:shd w:val="clear" w:color="auto" w:fill="FFFFFF"/>
        </w:rPr>
        <w:t xml:space="preserve">Reduction in Forebrain Parenchymal and Cortical Grey Matter Swelling Across Treatment Groups in Patients with Inflammatory Illness Acquired Following Exposure to Water-Damaged Buildings.” </w:t>
      </w:r>
      <w:r>
        <w:rPr>
          <w:rFonts w:ascii="Times New Roman" w:hAnsi="Times New Roman"/>
          <w:i/>
          <w:iCs/>
          <w:color w:val="323232"/>
          <w:shd w:val="clear" w:color="auto" w:fill="FFFFFF"/>
          <w:lang w:val="it-IT"/>
        </w:rPr>
        <w:t>J Neurosci Clin Res.</w:t>
      </w:r>
      <w:r>
        <w:rPr>
          <w:rFonts w:ascii="Times New Roman" w:hAnsi="Times New Roman"/>
          <w:color w:val="323232"/>
          <w:shd w:val="clear" w:color="auto" w:fill="FFFFFF"/>
          <w:lang w:val="pt-PT"/>
        </w:rPr>
        <w:t xml:space="preserve">, vol. 1, no. 1, ser. 1-11, 2016. </w:t>
      </w:r>
      <w:r>
        <w:rPr>
          <w:rFonts w:ascii="Times New Roman" w:hAnsi="Times New Roman"/>
          <w:i/>
          <w:iCs/>
          <w:color w:val="323232"/>
          <w:shd w:val="clear" w:color="auto" w:fill="FFFFFF"/>
        </w:rPr>
        <w:t>1-11</w:t>
      </w:r>
      <w:r>
        <w:rPr>
          <w:rFonts w:ascii="Times New Roman" w:hAnsi="Times New Roman"/>
          <w:color w:val="323232"/>
          <w:shd w:val="clear" w:color="auto" w:fill="FFFFFF"/>
        </w:rPr>
        <w:t>.</w:t>
      </w:r>
    </w:p>
    <w:p w14:paraId="317328E6" w14:textId="77777777" w:rsidR="00AA5826" w:rsidRDefault="00910327">
      <w:pPr>
        <w:pStyle w:val="Default"/>
        <w:spacing w:before="0" w:line="480" w:lineRule="auto"/>
        <w:rPr>
          <w:rFonts w:ascii="Times New Roman" w:eastAsia="Times New Roman" w:hAnsi="Times New Roman" w:cs="Times New Roman"/>
          <w:color w:val="323232"/>
          <w:shd w:val="clear" w:color="auto" w:fill="FFFFFF"/>
        </w:rPr>
      </w:pPr>
      <w:r>
        <w:rPr>
          <w:rFonts w:ascii="Times New Roman" w:hAnsi="Times New Roman"/>
          <w:color w:val="323232"/>
          <w:shd w:val="clear" w:color="auto" w:fill="FFFFFF"/>
        </w:rPr>
        <w:t xml:space="preserve">Mcmahon, Scott. </w:t>
      </w:r>
      <w:r>
        <w:rPr>
          <w:rFonts w:ascii="Times New Roman" w:hAnsi="Times New Roman"/>
          <w:color w:val="323232"/>
          <w:shd w:val="clear" w:color="auto" w:fill="FFFFFF"/>
          <w:rtl/>
          <w:lang w:val="ar-SA"/>
        </w:rPr>
        <w:t>“</w:t>
      </w:r>
      <w:r>
        <w:rPr>
          <w:rFonts w:ascii="Times New Roman" w:hAnsi="Times New Roman"/>
          <w:color w:val="323232"/>
          <w:shd w:val="clear" w:color="auto" w:fill="FFFFFF"/>
        </w:rPr>
        <w:t xml:space="preserve">Pediatrics Norms for Visual Contrast Sensitivity Using an APT VCS Tester.” </w:t>
      </w:r>
      <w:r>
        <w:rPr>
          <w:rFonts w:ascii="Times New Roman" w:hAnsi="Times New Roman"/>
          <w:i/>
          <w:iCs/>
          <w:color w:val="323232"/>
          <w:shd w:val="clear" w:color="auto" w:fill="FFFFFF"/>
        </w:rPr>
        <w:t>Medical Research Archives</w:t>
      </w:r>
      <w:r>
        <w:rPr>
          <w:rFonts w:ascii="Times New Roman" w:hAnsi="Times New Roman"/>
          <w:color w:val="323232"/>
          <w:shd w:val="clear" w:color="auto" w:fill="FFFFFF"/>
        </w:rPr>
        <w:t>, vol. 5, no. 5, 2017, https://doi.org/10.18103/mra.v5i5.1295.</w:t>
      </w:r>
    </w:p>
    <w:p w14:paraId="64E455FD" w14:textId="77777777" w:rsidR="00AA5826" w:rsidRDefault="00910327">
      <w:pPr>
        <w:pStyle w:val="Default"/>
        <w:spacing w:before="0" w:line="480" w:lineRule="auto"/>
        <w:rPr>
          <w:rFonts w:ascii="Times New Roman" w:eastAsia="Times New Roman" w:hAnsi="Times New Roman" w:cs="Times New Roman"/>
          <w:color w:val="323232"/>
          <w:shd w:val="clear" w:color="auto" w:fill="FFFFFF"/>
        </w:rPr>
      </w:pPr>
      <w:r>
        <w:rPr>
          <w:rFonts w:ascii="Times New Roman" w:hAnsi="Times New Roman"/>
          <w:color w:val="323232"/>
          <w:shd w:val="clear" w:color="auto" w:fill="FFFFFF"/>
        </w:rPr>
        <w:t xml:space="preserve">Park, Ju-Hyeong. </w:t>
      </w:r>
      <w:r>
        <w:rPr>
          <w:rFonts w:ascii="Times New Roman" w:hAnsi="Times New Roman"/>
          <w:color w:val="323232"/>
          <w:shd w:val="clear" w:color="auto" w:fill="FFFFFF"/>
          <w:rtl/>
          <w:lang w:val="ar-SA"/>
        </w:rPr>
        <w:t>“</w:t>
      </w:r>
      <w:r>
        <w:rPr>
          <w:rFonts w:ascii="Times New Roman" w:hAnsi="Times New Roman"/>
          <w:color w:val="323232"/>
          <w:shd w:val="clear" w:color="auto" w:fill="FFFFFF"/>
        </w:rPr>
        <w:t xml:space="preserve">Mold Exposure and Respiratory Health in Damp Indoor Environments.” </w:t>
      </w:r>
      <w:r>
        <w:rPr>
          <w:rFonts w:ascii="Times New Roman" w:hAnsi="Times New Roman"/>
          <w:i/>
          <w:iCs/>
          <w:color w:val="323232"/>
          <w:shd w:val="clear" w:color="auto" w:fill="FFFFFF"/>
          <w:lang w:val="fr-FR"/>
        </w:rPr>
        <w:t>Frontiers in Bioscience</w:t>
      </w:r>
      <w:r>
        <w:rPr>
          <w:rFonts w:ascii="Times New Roman" w:hAnsi="Times New Roman"/>
          <w:color w:val="323232"/>
          <w:shd w:val="clear" w:color="auto" w:fill="FFFFFF"/>
          <w:lang w:val="pt-PT"/>
        </w:rPr>
        <w:t>, vol. E3, no. 2, 2011, pp. 757</w:t>
      </w:r>
      <w:r>
        <w:rPr>
          <w:rFonts w:ascii="Times New Roman" w:hAnsi="Times New Roman"/>
          <w:color w:val="323232"/>
          <w:shd w:val="clear" w:color="auto" w:fill="FFFFFF"/>
        </w:rPr>
        <w:t>–771., https://doi.org/10.2741/e284.</w:t>
      </w:r>
    </w:p>
    <w:p w14:paraId="6FB32F10" w14:textId="77777777" w:rsidR="00AA5826" w:rsidRDefault="00910327">
      <w:pPr>
        <w:pStyle w:val="Default"/>
        <w:spacing w:before="0" w:line="480" w:lineRule="auto"/>
        <w:rPr>
          <w:rFonts w:ascii="Times New Roman" w:eastAsia="Times New Roman" w:hAnsi="Times New Roman" w:cs="Times New Roman"/>
          <w:color w:val="323232"/>
          <w:shd w:val="clear" w:color="auto" w:fill="FFFFFF"/>
        </w:rPr>
      </w:pPr>
      <w:r>
        <w:rPr>
          <w:rFonts w:ascii="Times New Roman" w:hAnsi="Times New Roman"/>
          <w:color w:val="323232"/>
          <w:shd w:val="clear" w:color="auto" w:fill="FFFFFF"/>
        </w:rPr>
        <w:t xml:space="preserve">Pitt, J. I., and A. D. Hocking. </w:t>
      </w:r>
      <w:r>
        <w:rPr>
          <w:rFonts w:ascii="Times New Roman" w:hAnsi="Times New Roman"/>
          <w:color w:val="323232"/>
          <w:shd w:val="clear" w:color="auto" w:fill="FFFFFF"/>
          <w:rtl/>
          <w:lang w:val="ar-SA"/>
        </w:rPr>
        <w:t>“</w:t>
      </w:r>
      <w:r>
        <w:rPr>
          <w:rFonts w:ascii="Times New Roman" w:hAnsi="Times New Roman"/>
          <w:color w:val="323232"/>
          <w:shd w:val="clear" w:color="auto" w:fill="FFFFFF"/>
        </w:rPr>
        <w:t xml:space="preserve">Influence of Solute and Hydrogen Ion Concentration on the Water Relations of Some Xerophilic Fungi.” </w:t>
      </w:r>
      <w:r>
        <w:rPr>
          <w:rFonts w:ascii="Times New Roman" w:hAnsi="Times New Roman"/>
          <w:i/>
          <w:iCs/>
          <w:color w:val="323232"/>
          <w:shd w:val="clear" w:color="auto" w:fill="FFFFFF"/>
        </w:rPr>
        <w:t>Journal of General Microbiology</w:t>
      </w:r>
      <w:r>
        <w:rPr>
          <w:rFonts w:ascii="Times New Roman" w:hAnsi="Times New Roman"/>
          <w:color w:val="323232"/>
          <w:shd w:val="clear" w:color="auto" w:fill="FFFFFF"/>
        </w:rPr>
        <w:t>, vol. 101, no. 1, 1977, pp. 35–40., https://doi.org/10.1099/00221287-101-1-35.</w:t>
      </w:r>
    </w:p>
    <w:p w14:paraId="517DEF77" w14:textId="77777777" w:rsidR="00AA5826" w:rsidRDefault="00910327">
      <w:pPr>
        <w:pStyle w:val="Default"/>
        <w:spacing w:before="0" w:line="480" w:lineRule="auto"/>
        <w:rPr>
          <w:rFonts w:ascii="Times New Roman" w:eastAsia="Times New Roman" w:hAnsi="Times New Roman" w:cs="Times New Roman"/>
          <w:color w:val="323232"/>
          <w:shd w:val="clear" w:color="auto" w:fill="FFFFFF"/>
        </w:rPr>
      </w:pPr>
      <w:r>
        <w:rPr>
          <w:rFonts w:ascii="Times New Roman" w:hAnsi="Times New Roman"/>
          <w:color w:val="323232"/>
          <w:shd w:val="clear" w:color="auto" w:fill="FFFFFF"/>
        </w:rPr>
        <w:t xml:space="preserve">Richardson, M. </w:t>
      </w:r>
      <w:r>
        <w:rPr>
          <w:rFonts w:ascii="Times New Roman" w:hAnsi="Times New Roman"/>
          <w:color w:val="323232"/>
          <w:shd w:val="clear" w:color="auto" w:fill="FFFFFF"/>
          <w:rtl/>
          <w:lang w:val="ar-SA"/>
        </w:rPr>
        <w:t>“</w:t>
      </w:r>
      <w:r>
        <w:rPr>
          <w:rFonts w:ascii="Times New Roman" w:hAnsi="Times New Roman"/>
          <w:color w:val="323232"/>
          <w:shd w:val="clear" w:color="auto" w:fill="FFFFFF"/>
        </w:rPr>
        <w:t xml:space="preserve">World Health Organization Guidelines for Indoor Air Quality: Dampness and Mould.” </w:t>
      </w:r>
      <w:r>
        <w:rPr>
          <w:rFonts w:ascii="Times New Roman" w:hAnsi="Times New Roman"/>
          <w:i/>
          <w:iCs/>
          <w:color w:val="323232"/>
          <w:shd w:val="clear" w:color="auto" w:fill="FFFFFF"/>
          <w:lang w:val="nl-NL"/>
        </w:rPr>
        <w:t>WHO Guidelines for Indoor Air Quality.</w:t>
      </w:r>
      <w:r>
        <w:rPr>
          <w:rFonts w:ascii="Times New Roman" w:hAnsi="Times New Roman"/>
          <w:i/>
          <w:iCs/>
          <w:color w:val="323232"/>
          <w:shd w:val="clear" w:color="auto" w:fill="FFFFFF"/>
        </w:rPr>
        <w:t>  </w:t>
      </w:r>
      <w:r>
        <w:rPr>
          <w:rFonts w:ascii="Times New Roman" w:hAnsi="Times New Roman"/>
          <w:color w:val="323232"/>
          <w:shd w:val="clear" w:color="auto" w:fill="FFFFFF"/>
        </w:rPr>
        <w:t>, 2009.</w:t>
      </w:r>
    </w:p>
    <w:p w14:paraId="6872E156" w14:textId="77777777" w:rsidR="00AA5826" w:rsidRDefault="00910327">
      <w:pPr>
        <w:pStyle w:val="Default"/>
        <w:spacing w:before="0" w:line="480" w:lineRule="auto"/>
        <w:rPr>
          <w:rFonts w:ascii="Times New Roman" w:eastAsia="Times New Roman" w:hAnsi="Times New Roman" w:cs="Times New Roman"/>
          <w:color w:val="323232"/>
          <w:shd w:val="clear" w:color="auto" w:fill="FFFFFF"/>
        </w:rPr>
      </w:pPr>
      <w:r>
        <w:rPr>
          <w:rFonts w:ascii="Times New Roman" w:hAnsi="Times New Roman"/>
          <w:color w:val="323232"/>
          <w:shd w:val="clear" w:color="auto" w:fill="FFFFFF"/>
        </w:rPr>
        <w:t xml:space="preserve">Ryan, James C, et al. </w:t>
      </w:r>
      <w:r>
        <w:rPr>
          <w:rFonts w:ascii="Times New Roman" w:hAnsi="Times New Roman"/>
          <w:color w:val="323232"/>
          <w:shd w:val="clear" w:color="auto" w:fill="FFFFFF"/>
          <w:rtl/>
          <w:lang w:val="ar-SA"/>
        </w:rPr>
        <w:t>“</w:t>
      </w:r>
      <w:r>
        <w:rPr>
          <w:rFonts w:ascii="Times New Roman" w:hAnsi="Times New Roman"/>
          <w:color w:val="323232"/>
          <w:shd w:val="clear" w:color="auto" w:fill="FFFFFF"/>
        </w:rPr>
        <w:t xml:space="preserve">Transcriptomic Signatures in Whole Blood of Patients Who Acquire a Chronic Inflammatory Response Syndrome (CIRS) Following an Exposure to the Marine Toxin Ciguatoxin.” </w:t>
      </w:r>
      <w:r>
        <w:rPr>
          <w:rFonts w:ascii="Times New Roman" w:hAnsi="Times New Roman"/>
          <w:i/>
          <w:iCs/>
          <w:color w:val="323232"/>
          <w:shd w:val="clear" w:color="auto" w:fill="FFFFFF"/>
          <w:lang w:val="it-IT"/>
        </w:rPr>
        <w:t>BMC Medical Genomics</w:t>
      </w:r>
      <w:r>
        <w:rPr>
          <w:rFonts w:ascii="Times New Roman" w:hAnsi="Times New Roman"/>
          <w:color w:val="323232"/>
          <w:shd w:val="clear" w:color="auto" w:fill="FFFFFF"/>
        </w:rPr>
        <w:t>, vol. 8, no. 1, 2015, https://doi.org/10.1186/s12920-015-0089-x.</w:t>
      </w:r>
    </w:p>
    <w:p w14:paraId="4E2420B4" w14:textId="77777777" w:rsidR="00AA5826" w:rsidRDefault="00910327">
      <w:pPr>
        <w:pStyle w:val="Default"/>
        <w:spacing w:before="0" w:line="480" w:lineRule="auto"/>
        <w:rPr>
          <w:rFonts w:ascii="Times New Roman" w:eastAsia="Times New Roman" w:hAnsi="Times New Roman" w:cs="Times New Roman"/>
          <w:color w:val="323232"/>
          <w:shd w:val="clear" w:color="auto" w:fill="FFFFFF"/>
        </w:rPr>
      </w:pPr>
      <w:r>
        <w:rPr>
          <w:rFonts w:ascii="Times New Roman" w:hAnsi="Times New Roman"/>
          <w:color w:val="323232"/>
          <w:shd w:val="clear" w:color="auto" w:fill="FFFFFF"/>
        </w:rPr>
        <w:t xml:space="preserve">Shoemaker, R, et al. </w:t>
      </w:r>
      <w:r>
        <w:rPr>
          <w:rFonts w:ascii="Times New Roman" w:hAnsi="Times New Roman"/>
          <w:color w:val="323232"/>
          <w:shd w:val="clear" w:color="auto" w:fill="FFFFFF"/>
          <w:rtl/>
          <w:lang w:val="ar-SA"/>
        </w:rPr>
        <w:t>“</w:t>
      </w:r>
      <w:r>
        <w:rPr>
          <w:rFonts w:ascii="Times New Roman" w:hAnsi="Times New Roman"/>
          <w:color w:val="323232"/>
          <w:shd w:val="clear" w:color="auto" w:fill="FFFFFF"/>
        </w:rPr>
        <w:t>Medically Sound Investigation and Remediation of Water-Damaged Buildings in Cases of CIRS-WDB</w:t>
      </w:r>
      <w:proofErr w:type="gramStart"/>
      <w:r>
        <w:rPr>
          <w:rFonts w:ascii="Times New Roman" w:hAnsi="Times New Roman"/>
          <w:color w:val="323232"/>
          <w:shd w:val="clear" w:color="auto" w:fill="FFFFFF"/>
        </w:rPr>
        <w:t>. .</w:t>
      </w:r>
      <w:proofErr w:type="gramEnd"/>
      <w:r>
        <w:rPr>
          <w:rFonts w:ascii="Times New Roman" w:hAnsi="Times New Roman"/>
          <w:color w:val="323232"/>
          <w:shd w:val="clear" w:color="auto" w:fill="FFFFFF"/>
        </w:rPr>
        <w:t>” Part 1. 10/15. www.survivingmold.com</w:t>
      </w:r>
      <w:proofErr w:type="gramStart"/>
      <w:r>
        <w:rPr>
          <w:rFonts w:ascii="Times New Roman" w:hAnsi="Times New Roman"/>
          <w:color w:val="323232"/>
          <w:shd w:val="clear" w:color="auto" w:fill="FFFFFF"/>
        </w:rPr>
        <w:t>. .</w:t>
      </w:r>
      <w:proofErr w:type="gramEnd"/>
      <w:r>
        <w:rPr>
          <w:rFonts w:ascii="Times New Roman" w:hAnsi="Times New Roman"/>
          <w:color w:val="323232"/>
          <w:shd w:val="clear" w:color="auto" w:fill="FFFFFF"/>
        </w:rPr>
        <w:t xml:space="preserve"> Accessed 23 July 2017.</w:t>
      </w:r>
    </w:p>
    <w:p w14:paraId="7CC96D4D" w14:textId="77777777" w:rsidR="00AA5826" w:rsidRDefault="00910327">
      <w:pPr>
        <w:pStyle w:val="Default"/>
        <w:spacing w:before="0" w:line="480" w:lineRule="auto"/>
        <w:rPr>
          <w:rFonts w:ascii="Times New Roman" w:eastAsia="Times New Roman" w:hAnsi="Times New Roman" w:cs="Times New Roman"/>
          <w:color w:val="323232"/>
          <w:shd w:val="clear" w:color="auto" w:fill="FFFFFF"/>
        </w:rPr>
      </w:pPr>
      <w:r>
        <w:rPr>
          <w:rFonts w:ascii="Times New Roman" w:hAnsi="Times New Roman"/>
          <w:color w:val="323232"/>
          <w:shd w:val="clear" w:color="auto" w:fill="FFFFFF"/>
        </w:rPr>
        <w:t xml:space="preserve">Shoemaker, R, and D Lark. </w:t>
      </w:r>
      <w:r>
        <w:rPr>
          <w:rFonts w:ascii="Times New Roman" w:hAnsi="Times New Roman"/>
          <w:color w:val="323232"/>
          <w:shd w:val="clear" w:color="auto" w:fill="FFFFFF"/>
          <w:rtl/>
          <w:lang w:val="ar-SA"/>
        </w:rPr>
        <w:t>“</w:t>
      </w:r>
      <w:r>
        <w:rPr>
          <w:rFonts w:ascii="Times New Roman" w:hAnsi="Times New Roman"/>
          <w:color w:val="323232"/>
          <w:shd w:val="clear" w:color="auto" w:fill="FFFFFF"/>
        </w:rPr>
        <w:t>Mold Congress.”</w:t>
      </w:r>
    </w:p>
    <w:p w14:paraId="3966259C" w14:textId="77777777" w:rsidR="00AA5826" w:rsidRDefault="00910327">
      <w:pPr>
        <w:pStyle w:val="Default"/>
        <w:spacing w:before="0" w:line="480" w:lineRule="auto"/>
        <w:rPr>
          <w:rFonts w:ascii="Times New Roman" w:eastAsia="Times New Roman" w:hAnsi="Times New Roman" w:cs="Times New Roman"/>
          <w:color w:val="323232"/>
          <w:shd w:val="clear" w:color="auto" w:fill="FFFFFF"/>
        </w:rPr>
      </w:pPr>
      <w:r>
        <w:rPr>
          <w:rFonts w:ascii="Times New Roman" w:hAnsi="Times New Roman"/>
          <w:color w:val="323232"/>
          <w:shd w:val="clear" w:color="auto" w:fill="FFFFFF"/>
          <w:lang w:val="nl-NL"/>
        </w:rPr>
        <w:t xml:space="preserve">Shoemaker, R. </w:t>
      </w:r>
      <w:r>
        <w:rPr>
          <w:rFonts w:ascii="Times New Roman" w:hAnsi="Times New Roman"/>
          <w:color w:val="323232"/>
          <w:shd w:val="clear" w:color="auto" w:fill="FFFFFF"/>
          <w:rtl/>
          <w:lang w:val="ar-SA"/>
        </w:rPr>
        <w:t>“</w:t>
      </w:r>
      <w:r>
        <w:rPr>
          <w:rFonts w:ascii="Times New Roman" w:hAnsi="Times New Roman"/>
          <w:color w:val="323232"/>
          <w:shd w:val="clear" w:color="auto" w:fill="FFFFFF"/>
        </w:rPr>
        <w:t xml:space="preserve">Sick Building Syndrome in Water Damaged Buildings: Generalization of the Chronic Biotoxin Associated Illness Paradigm to Indoor Toxigenic Fungi. Bioaerosols, Fungi, Bacteria, Mycotoxins and Human Health.” </w:t>
      </w:r>
      <w:r>
        <w:rPr>
          <w:rFonts w:ascii="Times New Roman" w:hAnsi="Times New Roman"/>
          <w:i/>
          <w:iCs/>
          <w:color w:val="323232"/>
          <w:shd w:val="clear" w:color="auto" w:fill="FFFFFF"/>
        </w:rPr>
        <w:t>Bioaerosols, Fungi, Bacteria, Mycotoxins and Human Health: Patho-Physiology, Clinical Effects, Exposure Assessment, Prevention and Control in Indoor Environments and Work. Fungal Research Group Foundation, Inc</w:t>
      </w:r>
      <w:r>
        <w:rPr>
          <w:rFonts w:ascii="Times New Roman" w:hAnsi="Times New Roman"/>
          <w:color w:val="323232"/>
          <w:shd w:val="clear" w:color="auto" w:fill="FFFFFF"/>
        </w:rPr>
        <w:t>, 2006, pp. 52–63.</w:t>
      </w:r>
    </w:p>
    <w:p w14:paraId="029C0970" w14:textId="77777777" w:rsidR="00AA5826" w:rsidRDefault="00910327">
      <w:pPr>
        <w:pStyle w:val="Default"/>
        <w:spacing w:before="0" w:line="480" w:lineRule="auto"/>
        <w:rPr>
          <w:rFonts w:ascii="Times New Roman" w:eastAsia="Times New Roman" w:hAnsi="Times New Roman" w:cs="Times New Roman"/>
          <w:color w:val="323232"/>
          <w:shd w:val="clear" w:color="auto" w:fill="FFFFFF"/>
        </w:rPr>
      </w:pPr>
      <w:r>
        <w:rPr>
          <w:rFonts w:ascii="Times New Roman" w:hAnsi="Times New Roman"/>
          <w:color w:val="323232"/>
          <w:shd w:val="clear" w:color="auto" w:fill="FFFFFF"/>
          <w:lang w:val="nl-NL"/>
        </w:rPr>
        <w:t xml:space="preserve">Shoemaker, R. </w:t>
      </w:r>
      <w:r>
        <w:rPr>
          <w:rFonts w:ascii="Times New Roman" w:hAnsi="Times New Roman"/>
          <w:color w:val="323232"/>
          <w:shd w:val="clear" w:color="auto" w:fill="FFFFFF"/>
          <w:rtl/>
          <w:lang w:val="ar-SA"/>
        </w:rPr>
        <w:t>“</w:t>
      </w:r>
      <w:r>
        <w:rPr>
          <w:rFonts w:ascii="Times New Roman" w:hAnsi="Times New Roman"/>
          <w:color w:val="323232"/>
          <w:shd w:val="clear" w:color="auto" w:fill="FFFFFF"/>
        </w:rPr>
        <w:t xml:space="preserve">Research Committee Report on Diagnosis and Treatment of Chronic Inflammatory Response Syndrome Caused by Exposure to the Interior Environment of Water-Damaged Buildings.” </w:t>
      </w:r>
      <w:proofErr w:type="spellStart"/>
      <w:r>
        <w:rPr>
          <w:rFonts w:ascii="Times New Roman" w:hAnsi="Times New Roman"/>
          <w:i/>
          <w:iCs/>
          <w:color w:val="323232"/>
          <w:shd w:val="clear" w:color="auto" w:fill="FFFFFF"/>
        </w:rPr>
        <w:t>Olicyholders</w:t>
      </w:r>
      <w:proofErr w:type="spellEnd"/>
      <w:r>
        <w:rPr>
          <w:rFonts w:ascii="Times New Roman" w:hAnsi="Times New Roman"/>
          <w:i/>
          <w:iCs/>
          <w:color w:val="323232"/>
          <w:shd w:val="clear" w:color="auto" w:fill="FFFFFF"/>
        </w:rPr>
        <w:t xml:space="preserve"> of America.</w:t>
      </w:r>
      <w:r>
        <w:rPr>
          <w:rFonts w:ascii="Times New Roman" w:hAnsi="Times New Roman"/>
          <w:color w:val="323232"/>
          <w:shd w:val="clear" w:color="auto" w:fill="FFFFFF"/>
        </w:rPr>
        <w:t>, 2010.</w:t>
      </w:r>
    </w:p>
    <w:p w14:paraId="35255B67" w14:textId="77777777" w:rsidR="00AA5826" w:rsidRDefault="00910327">
      <w:pPr>
        <w:pStyle w:val="Default"/>
        <w:spacing w:before="0" w:line="480" w:lineRule="auto"/>
        <w:rPr>
          <w:rFonts w:ascii="Times New Roman" w:eastAsia="Times New Roman" w:hAnsi="Times New Roman" w:cs="Times New Roman"/>
          <w:color w:val="323232"/>
          <w:shd w:val="clear" w:color="auto" w:fill="FFFFFF"/>
        </w:rPr>
      </w:pPr>
      <w:r>
        <w:rPr>
          <w:rFonts w:ascii="Times New Roman" w:hAnsi="Times New Roman"/>
          <w:color w:val="323232"/>
          <w:shd w:val="clear" w:color="auto" w:fill="FFFFFF"/>
        </w:rPr>
        <w:t xml:space="preserve">Shoemaker, R, and J Ryan. </w:t>
      </w:r>
      <w:r>
        <w:rPr>
          <w:rFonts w:ascii="Times New Roman" w:hAnsi="Times New Roman"/>
          <w:color w:val="323232"/>
          <w:shd w:val="clear" w:color="auto" w:fill="FFFFFF"/>
          <w:rtl/>
          <w:lang w:val="ar-SA"/>
        </w:rPr>
        <w:t>“</w:t>
      </w:r>
      <w:r>
        <w:rPr>
          <w:rFonts w:ascii="Times New Roman" w:hAnsi="Times New Roman"/>
          <w:color w:val="323232"/>
          <w:shd w:val="clear" w:color="auto" w:fill="FFFFFF"/>
        </w:rPr>
        <w:t xml:space="preserve">RNA-Seq on Patients with Chronic Inflammatory Response Syndrome (CIRS) Treated with Vasoactive Intestinal Peptide (VIP) Shows a Shift in Metabolic State and Innate Immune Functions That Coincide with Healing.” </w:t>
      </w:r>
      <w:r>
        <w:rPr>
          <w:rFonts w:ascii="Times New Roman" w:hAnsi="Times New Roman"/>
          <w:i/>
          <w:iCs/>
          <w:color w:val="323232"/>
          <w:shd w:val="clear" w:color="auto" w:fill="FFFFFF"/>
        </w:rPr>
        <w:t>Medical Research Archives</w:t>
      </w:r>
      <w:r>
        <w:rPr>
          <w:rFonts w:ascii="Times New Roman" w:hAnsi="Times New Roman"/>
          <w:color w:val="323232"/>
          <w:shd w:val="clear" w:color="auto" w:fill="FFFFFF"/>
          <w:lang w:val="pt-PT"/>
        </w:rPr>
        <w:t>, vol. 4, no. 7, 2016, https://doi.org/10.18103/mra.v4i7.862.</w:t>
      </w:r>
    </w:p>
    <w:p w14:paraId="3862B762" w14:textId="77777777" w:rsidR="00AA5826" w:rsidRDefault="00910327">
      <w:pPr>
        <w:pStyle w:val="Default"/>
        <w:spacing w:before="0" w:line="480" w:lineRule="auto"/>
        <w:rPr>
          <w:rFonts w:ascii="Times New Roman" w:eastAsia="Times New Roman" w:hAnsi="Times New Roman" w:cs="Times New Roman"/>
          <w:color w:val="323232"/>
          <w:shd w:val="clear" w:color="auto" w:fill="FFFFFF"/>
        </w:rPr>
      </w:pPr>
      <w:r>
        <w:rPr>
          <w:rFonts w:ascii="Times New Roman" w:hAnsi="Times New Roman"/>
          <w:color w:val="323232"/>
          <w:shd w:val="clear" w:color="auto" w:fill="FFFFFF"/>
          <w:lang w:val="nl-NL"/>
        </w:rPr>
        <w:t xml:space="preserve">Shoemaker, R. </w:t>
      </w:r>
      <w:r>
        <w:rPr>
          <w:rFonts w:ascii="Times New Roman" w:hAnsi="Times New Roman"/>
          <w:color w:val="323232"/>
          <w:shd w:val="clear" w:color="auto" w:fill="FFFFFF"/>
          <w:lang w:val="de-DE"/>
        </w:rPr>
        <w:t xml:space="preserve">“ </w:t>
      </w:r>
      <w:r>
        <w:rPr>
          <w:rFonts w:ascii="Times New Roman" w:hAnsi="Times New Roman"/>
          <w:color w:val="323232"/>
          <w:shd w:val="clear" w:color="auto" w:fill="FFFFFF"/>
        </w:rPr>
        <w:t xml:space="preserve">Surviving Mold.” </w:t>
      </w:r>
      <w:r>
        <w:rPr>
          <w:rFonts w:ascii="Times New Roman" w:hAnsi="Times New Roman"/>
          <w:i/>
          <w:iCs/>
          <w:color w:val="323232"/>
          <w:shd w:val="clear" w:color="auto" w:fill="FFFFFF"/>
        </w:rPr>
        <w:t>MARCoNS Monsters, Antifungals and Grey Matter Atrophy.</w:t>
      </w:r>
    </w:p>
    <w:p w14:paraId="270F720A" w14:textId="77777777" w:rsidR="00AA5826" w:rsidRDefault="00910327">
      <w:pPr>
        <w:pStyle w:val="Default"/>
        <w:spacing w:before="0" w:line="480" w:lineRule="auto"/>
        <w:rPr>
          <w:rFonts w:ascii="Times New Roman" w:eastAsia="Times New Roman" w:hAnsi="Times New Roman" w:cs="Times New Roman"/>
          <w:color w:val="323232"/>
          <w:shd w:val="clear" w:color="auto" w:fill="FFFFFF"/>
        </w:rPr>
      </w:pPr>
      <w:r>
        <w:rPr>
          <w:rFonts w:ascii="Times New Roman" w:hAnsi="Times New Roman"/>
          <w:color w:val="323232"/>
          <w:shd w:val="clear" w:color="auto" w:fill="FFFFFF"/>
        </w:rPr>
        <w:t xml:space="preserve">Shoemaker, Ritchie C., et al. </w:t>
      </w:r>
      <w:r>
        <w:rPr>
          <w:rFonts w:ascii="Times New Roman" w:hAnsi="Times New Roman"/>
          <w:color w:val="323232"/>
          <w:shd w:val="clear" w:color="auto" w:fill="FFFFFF"/>
          <w:rtl/>
          <w:lang w:val="ar-SA"/>
        </w:rPr>
        <w:t>“</w:t>
      </w:r>
      <w:r>
        <w:rPr>
          <w:rFonts w:ascii="Times New Roman" w:hAnsi="Times New Roman"/>
          <w:color w:val="323232"/>
          <w:shd w:val="clear" w:color="auto" w:fill="FFFFFF"/>
        </w:rPr>
        <w:t xml:space="preserve">Vasoactive Intestinal Polypeptide (VIP) Corrects Chronic Inflammatory Response Syndrome (CIRS) Acquired Following Exposure to Water-Damaged Buildings.” </w:t>
      </w:r>
      <w:r>
        <w:rPr>
          <w:rFonts w:ascii="Times New Roman" w:hAnsi="Times New Roman"/>
          <w:i/>
          <w:iCs/>
          <w:color w:val="323232"/>
          <w:shd w:val="clear" w:color="auto" w:fill="FFFFFF"/>
        </w:rPr>
        <w:t>Health</w:t>
      </w:r>
      <w:r>
        <w:rPr>
          <w:rFonts w:ascii="Times New Roman" w:hAnsi="Times New Roman"/>
          <w:color w:val="323232"/>
          <w:shd w:val="clear" w:color="auto" w:fill="FFFFFF"/>
          <w:lang w:val="pt-PT"/>
        </w:rPr>
        <w:t>, vol. 05, no. 03, 2013, pp. 396</w:t>
      </w:r>
      <w:r>
        <w:rPr>
          <w:rFonts w:ascii="Times New Roman" w:hAnsi="Times New Roman"/>
          <w:color w:val="323232"/>
          <w:shd w:val="clear" w:color="auto" w:fill="FFFFFF"/>
        </w:rPr>
        <w:t>–401., https://doi.org/10.4236/health.2013.53053.</w:t>
      </w:r>
    </w:p>
    <w:p w14:paraId="043F9413" w14:textId="77777777" w:rsidR="00AA5826" w:rsidRDefault="00910327">
      <w:pPr>
        <w:pStyle w:val="Default"/>
        <w:spacing w:before="0" w:line="480" w:lineRule="auto"/>
        <w:rPr>
          <w:rFonts w:ascii="Times New Roman" w:eastAsia="Times New Roman" w:hAnsi="Times New Roman" w:cs="Times New Roman"/>
          <w:color w:val="323232"/>
          <w:shd w:val="clear" w:color="auto" w:fill="FFFFFF"/>
        </w:rPr>
      </w:pPr>
      <w:r>
        <w:rPr>
          <w:rFonts w:ascii="Times New Roman" w:hAnsi="Times New Roman"/>
          <w:color w:val="323232"/>
          <w:shd w:val="clear" w:color="auto" w:fill="FFFFFF"/>
        </w:rPr>
        <w:t xml:space="preserve">Shoemaker, Ritchie C., et al. </w:t>
      </w:r>
      <w:r>
        <w:rPr>
          <w:rFonts w:ascii="Times New Roman" w:hAnsi="Times New Roman"/>
          <w:color w:val="323232"/>
          <w:shd w:val="clear" w:color="auto" w:fill="FFFFFF"/>
          <w:rtl/>
          <w:lang w:val="ar-SA"/>
        </w:rPr>
        <w:t>“</w:t>
      </w:r>
      <w:r>
        <w:rPr>
          <w:rFonts w:ascii="Times New Roman" w:hAnsi="Times New Roman"/>
          <w:color w:val="323232"/>
          <w:shd w:val="clear" w:color="auto" w:fill="FFFFFF"/>
        </w:rPr>
        <w:t xml:space="preserve">Structural Brain Abnormalities in Patients with Inflammatory Illness Acquired Following Exposure to Water-Damaged Buildings: A Volumetric MRI Study Using NeuroQuant®.” </w:t>
      </w:r>
      <w:r>
        <w:rPr>
          <w:rFonts w:ascii="Times New Roman" w:hAnsi="Times New Roman"/>
          <w:i/>
          <w:iCs/>
          <w:color w:val="323232"/>
          <w:shd w:val="clear" w:color="auto" w:fill="FFFFFF"/>
        </w:rPr>
        <w:t>Neurotoxicology and Teratology</w:t>
      </w:r>
      <w:r>
        <w:rPr>
          <w:rFonts w:ascii="Times New Roman" w:hAnsi="Times New Roman"/>
          <w:color w:val="323232"/>
          <w:shd w:val="clear" w:color="auto" w:fill="FFFFFF"/>
        </w:rPr>
        <w:t>, vol. 45, 2014, pp. 18–</w:t>
      </w:r>
      <w:r>
        <w:rPr>
          <w:rFonts w:ascii="Times New Roman" w:hAnsi="Times New Roman"/>
          <w:color w:val="323232"/>
          <w:shd w:val="clear" w:color="auto" w:fill="FFFFFF"/>
          <w:lang w:val="de-DE"/>
        </w:rPr>
        <w:t>26., https://doi.org/10.1016/j.ntt.2014.06.004.</w:t>
      </w:r>
    </w:p>
    <w:p w14:paraId="613A3885" w14:textId="77777777" w:rsidR="00AA5826" w:rsidRDefault="00910327">
      <w:pPr>
        <w:pStyle w:val="Default"/>
        <w:spacing w:before="0" w:line="480" w:lineRule="auto"/>
        <w:rPr>
          <w:rFonts w:ascii="Times New Roman" w:eastAsia="Times New Roman" w:hAnsi="Times New Roman" w:cs="Times New Roman"/>
          <w:color w:val="323232"/>
          <w:shd w:val="clear" w:color="auto" w:fill="FFFFFF"/>
        </w:rPr>
      </w:pPr>
      <w:r>
        <w:rPr>
          <w:rFonts w:ascii="Times New Roman" w:hAnsi="Times New Roman"/>
          <w:color w:val="323232"/>
          <w:shd w:val="clear" w:color="auto" w:fill="FFFFFF"/>
        </w:rPr>
        <w:t xml:space="preserve">Shoemaker, Ritchie, et al. </w:t>
      </w:r>
      <w:r>
        <w:rPr>
          <w:rFonts w:ascii="Times New Roman" w:hAnsi="Times New Roman"/>
          <w:color w:val="323232"/>
          <w:shd w:val="clear" w:color="auto" w:fill="FFFFFF"/>
          <w:rtl/>
          <w:lang w:val="ar-SA"/>
        </w:rPr>
        <w:t>“</w:t>
      </w:r>
      <w:r>
        <w:rPr>
          <w:rFonts w:ascii="Times New Roman" w:hAnsi="Times New Roman"/>
          <w:color w:val="323232"/>
          <w:shd w:val="clear" w:color="auto" w:fill="FFFFFF"/>
        </w:rPr>
        <w:t xml:space="preserve">Chronic Fatiguing Illnesses: Entering the Era of New Biomarkers and Therapies.” </w:t>
      </w:r>
      <w:r>
        <w:rPr>
          <w:rFonts w:ascii="Times New Roman" w:hAnsi="Times New Roman"/>
          <w:i/>
          <w:iCs/>
          <w:color w:val="323232"/>
          <w:shd w:val="clear" w:color="auto" w:fill="FFFFFF"/>
        </w:rPr>
        <w:t>Internal Medicine Review</w:t>
      </w:r>
      <w:r>
        <w:rPr>
          <w:rFonts w:ascii="Times New Roman" w:hAnsi="Times New Roman"/>
          <w:color w:val="323232"/>
          <w:shd w:val="clear" w:color="auto" w:fill="FFFFFF"/>
          <w:lang w:val="pt-PT"/>
        </w:rPr>
        <w:t>, vol. 3, no. 10, 2017, https://doi.org/10.18103/imr.v3i10.585.</w:t>
      </w:r>
    </w:p>
    <w:p w14:paraId="16AC310D" w14:textId="77777777" w:rsidR="00AA5826" w:rsidRDefault="00910327">
      <w:pPr>
        <w:pStyle w:val="Default"/>
        <w:spacing w:before="0" w:line="480" w:lineRule="auto"/>
        <w:rPr>
          <w:rFonts w:ascii="Times New Roman" w:eastAsia="Times New Roman" w:hAnsi="Times New Roman" w:cs="Times New Roman"/>
          <w:color w:val="323232"/>
          <w:shd w:val="clear" w:color="auto" w:fill="FFFFFF"/>
        </w:rPr>
      </w:pPr>
      <w:r>
        <w:rPr>
          <w:rFonts w:ascii="Times New Roman" w:hAnsi="Times New Roman"/>
          <w:color w:val="323232"/>
          <w:shd w:val="clear" w:color="auto" w:fill="FFFFFF"/>
        </w:rPr>
        <w:t xml:space="preserve">Shoemaker, Ritchie. </w:t>
      </w:r>
      <w:r>
        <w:rPr>
          <w:rFonts w:ascii="Times New Roman" w:hAnsi="Times New Roman"/>
          <w:color w:val="323232"/>
          <w:shd w:val="clear" w:color="auto" w:fill="FFFFFF"/>
          <w:rtl/>
          <w:lang w:val="ar-SA"/>
        </w:rPr>
        <w:t>“</w:t>
      </w:r>
      <w:r>
        <w:rPr>
          <w:rFonts w:ascii="Times New Roman" w:hAnsi="Times New Roman"/>
          <w:color w:val="323232"/>
          <w:shd w:val="clear" w:color="auto" w:fill="FFFFFF"/>
        </w:rPr>
        <w:t xml:space="preserve">Intranasal VIP Safely Restores Volume to Multiple Grey Matter Nuclei in Patients with CIRS.” </w:t>
      </w:r>
      <w:r>
        <w:rPr>
          <w:rFonts w:ascii="Times New Roman" w:hAnsi="Times New Roman"/>
          <w:i/>
          <w:iCs/>
          <w:color w:val="323232"/>
          <w:shd w:val="clear" w:color="auto" w:fill="FFFFFF"/>
        </w:rPr>
        <w:t>Internal Medicine Review</w:t>
      </w:r>
      <w:r>
        <w:rPr>
          <w:rFonts w:ascii="Times New Roman" w:hAnsi="Times New Roman"/>
          <w:color w:val="323232"/>
          <w:shd w:val="clear" w:color="auto" w:fill="FFFFFF"/>
          <w:lang w:val="pt-PT"/>
        </w:rPr>
        <w:t>, vol. 3, no. 4, 2017, https://doi.org/10.18103/imr.v3i4.412.</w:t>
      </w:r>
    </w:p>
    <w:p w14:paraId="1DB7F29C" w14:textId="77777777" w:rsidR="00AA5826" w:rsidRDefault="00910327">
      <w:pPr>
        <w:pStyle w:val="Default"/>
        <w:spacing w:before="0" w:line="480" w:lineRule="auto"/>
        <w:rPr>
          <w:rFonts w:ascii="Times New Roman" w:eastAsia="Times New Roman" w:hAnsi="Times New Roman" w:cs="Times New Roman"/>
          <w:color w:val="323232"/>
          <w:shd w:val="clear" w:color="auto" w:fill="FFFFFF"/>
        </w:rPr>
      </w:pPr>
      <w:r>
        <w:rPr>
          <w:rFonts w:ascii="Times New Roman" w:hAnsi="Times New Roman"/>
          <w:color w:val="323232"/>
          <w:shd w:val="clear" w:color="auto" w:fill="FFFFFF"/>
          <w:lang w:val="de-DE"/>
        </w:rPr>
        <w:t xml:space="preserve">Stammberger, Braun. </w:t>
      </w:r>
      <w:r>
        <w:rPr>
          <w:rFonts w:ascii="Times New Roman" w:hAnsi="Times New Roman"/>
          <w:color w:val="323232"/>
          <w:shd w:val="clear" w:color="auto" w:fill="FFFFFF"/>
          <w:rtl/>
          <w:lang w:val="ar-SA"/>
        </w:rPr>
        <w:t>“</w:t>
      </w:r>
      <w:r>
        <w:rPr>
          <w:rFonts w:ascii="Times New Roman" w:hAnsi="Times New Roman"/>
          <w:color w:val="323232"/>
          <w:shd w:val="clear" w:color="auto" w:fill="FFFFFF"/>
        </w:rPr>
        <w:t xml:space="preserve">Incidence and Detection of Fungi and Eosinophilic Granulocytes in Chronic Rhinosinusitis.” </w:t>
      </w:r>
      <w:r>
        <w:rPr>
          <w:rFonts w:ascii="Times New Roman" w:hAnsi="Times New Roman"/>
          <w:i/>
          <w:iCs/>
          <w:color w:val="323232"/>
          <w:shd w:val="clear" w:color="auto" w:fill="FFFFFF"/>
          <w:lang w:val="nl-NL"/>
        </w:rPr>
        <w:t xml:space="preserve">Laryngorhinootologie </w:t>
      </w:r>
      <w:r>
        <w:rPr>
          <w:rFonts w:ascii="Times New Roman" w:hAnsi="Times New Roman"/>
          <w:color w:val="323232"/>
          <w:shd w:val="clear" w:color="auto" w:fill="FFFFFF"/>
        </w:rPr>
        <w:t>, vol. 82, pp. 330–340., Accessed 2003.</w:t>
      </w:r>
    </w:p>
    <w:p w14:paraId="7194DBDC" w14:textId="77777777" w:rsidR="00AA5826" w:rsidRDefault="00910327" w:rsidP="6DB205A6">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sectPr w:rsidR="00AA5826">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7C897" w14:textId="77777777" w:rsidR="00C9679F" w:rsidRDefault="00C9679F">
      <w:r>
        <w:separator/>
      </w:r>
    </w:p>
  </w:endnote>
  <w:endnote w:type="continuationSeparator" w:id="0">
    <w:p w14:paraId="726BB622" w14:textId="77777777" w:rsidR="00C9679F" w:rsidRDefault="00C9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auto"/>
    <w:pitch w:val="variable"/>
    <w:sig w:usb0="E00002FF" w:usb1="5000205A" w:usb2="00000000" w:usb3="00000000" w:csb0="0000019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6C2B" w14:textId="1D8FCDCE" w:rsidR="00AA5826" w:rsidRDefault="00910327">
    <w:pPr>
      <w:pStyle w:val="HeaderFooter"/>
      <w:tabs>
        <w:tab w:val="clear" w:pos="9020"/>
        <w:tab w:val="center" w:pos="4680"/>
        <w:tab w:val="right" w:pos="9360"/>
      </w:tabs>
    </w:pPr>
    <w:r>
      <w:tab/>
    </w:r>
    <w:r>
      <w:fldChar w:fldCharType="begin"/>
    </w:r>
    <w:r>
      <w:instrText xml:space="preserve"> PAGE </w:instrText>
    </w:r>
    <w:r>
      <w:fldChar w:fldCharType="separate"/>
    </w:r>
    <w:r w:rsidR="005679FB">
      <w:rPr>
        <w:noProof/>
      </w:rPr>
      <w:t>1</w:t>
    </w:r>
    <w:r>
      <w:fldChar w:fldCharType="end"/>
    </w:r>
    <w:r>
      <w:t xml:space="preserve"> of </w:t>
    </w:r>
    <w:r w:rsidR="007B620F">
      <w:fldChar w:fldCharType="begin"/>
    </w:r>
    <w:r w:rsidR="007B620F">
      <w:instrText xml:space="preserve"> NUMPAGES </w:instrText>
    </w:r>
    <w:r w:rsidR="007B620F">
      <w:fldChar w:fldCharType="separate"/>
    </w:r>
    <w:r w:rsidR="005679FB">
      <w:rPr>
        <w:noProof/>
      </w:rPr>
      <w:t>2</w:t>
    </w:r>
    <w:r w:rsidR="007B620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3D6BC" w14:textId="77777777" w:rsidR="00C9679F" w:rsidRDefault="00C9679F">
      <w:r>
        <w:separator/>
      </w:r>
    </w:p>
  </w:footnote>
  <w:footnote w:type="continuationSeparator" w:id="0">
    <w:p w14:paraId="5B0CF8EF" w14:textId="77777777" w:rsidR="00C9679F" w:rsidRDefault="00C96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0D3C" w14:textId="77777777" w:rsidR="00AA5826" w:rsidRDefault="00AA5826"/>
</w:hdr>
</file>

<file path=word/intelligence2.xml><?xml version="1.0" encoding="utf-8"?>
<int2:intelligence xmlns:int2="http://schemas.microsoft.com/office/intelligence/2020/intelligence" xmlns:oel="http://schemas.microsoft.com/office/2019/extlst">
  <int2:observations>
    <int2:bookmark int2:bookmarkName="_Int_1QhjmlgP" int2:invalidationBookmarkName="" int2:hashCode="9SvESjQ0DL9MGq" int2:id="3A8Ri8M3">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5723"/>
    <w:multiLevelType w:val="hybridMultilevel"/>
    <w:tmpl w:val="2CB208C8"/>
    <w:numStyleLink w:val="Numbered"/>
  </w:abstractNum>
  <w:abstractNum w:abstractNumId="1" w15:restartNumberingAfterBreak="0">
    <w:nsid w:val="13927BDA"/>
    <w:multiLevelType w:val="hybridMultilevel"/>
    <w:tmpl w:val="4DC4F1AA"/>
    <w:lvl w:ilvl="0" w:tplc="C5780278">
      <w:start w:val="1"/>
      <w:numFmt w:val="decimal"/>
      <w:lvlText w:val="%1."/>
      <w:lvlJc w:val="left"/>
      <w:pPr>
        <w:ind w:left="720" w:hanging="360"/>
      </w:pPr>
    </w:lvl>
    <w:lvl w:ilvl="1" w:tplc="15DE37B4">
      <w:start w:val="1"/>
      <w:numFmt w:val="lowerLetter"/>
      <w:lvlText w:val="%2."/>
      <w:lvlJc w:val="left"/>
      <w:pPr>
        <w:ind w:left="1440" w:hanging="360"/>
      </w:pPr>
    </w:lvl>
    <w:lvl w:ilvl="2" w:tplc="5F244D24">
      <w:start w:val="1"/>
      <w:numFmt w:val="lowerRoman"/>
      <w:lvlText w:val="%3."/>
      <w:lvlJc w:val="right"/>
      <w:pPr>
        <w:ind w:left="2160" w:hanging="180"/>
      </w:pPr>
    </w:lvl>
    <w:lvl w:ilvl="3" w:tplc="CE9818A0">
      <w:start w:val="1"/>
      <w:numFmt w:val="decimal"/>
      <w:lvlText w:val="%4."/>
      <w:lvlJc w:val="left"/>
      <w:pPr>
        <w:ind w:left="2880" w:hanging="360"/>
      </w:pPr>
    </w:lvl>
    <w:lvl w:ilvl="4" w:tplc="1FCA0150">
      <w:start w:val="1"/>
      <w:numFmt w:val="lowerLetter"/>
      <w:lvlText w:val="%5."/>
      <w:lvlJc w:val="left"/>
      <w:pPr>
        <w:ind w:left="3600" w:hanging="360"/>
      </w:pPr>
    </w:lvl>
    <w:lvl w:ilvl="5" w:tplc="B3207514">
      <w:start w:val="1"/>
      <w:numFmt w:val="lowerRoman"/>
      <w:lvlText w:val="%6."/>
      <w:lvlJc w:val="right"/>
      <w:pPr>
        <w:ind w:left="4320" w:hanging="180"/>
      </w:pPr>
    </w:lvl>
    <w:lvl w:ilvl="6" w:tplc="EDB49BA0">
      <w:start w:val="1"/>
      <w:numFmt w:val="decimal"/>
      <w:lvlText w:val="%7."/>
      <w:lvlJc w:val="left"/>
      <w:pPr>
        <w:ind w:left="5040" w:hanging="360"/>
      </w:pPr>
    </w:lvl>
    <w:lvl w:ilvl="7" w:tplc="F3AA5AD0">
      <w:start w:val="1"/>
      <w:numFmt w:val="lowerLetter"/>
      <w:lvlText w:val="%8."/>
      <w:lvlJc w:val="left"/>
      <w:pPr>
        <w:ind w:left="5760" w:hanging="360"/>
      </w:pPr>
    </w:lvl>
    <w:lvl w:ilvl="8" w:tplc="44024B4C">
      <w:start w:val="1"/>
      <w:numFmt w:val="lowerRoman"/>
      <w:lvlText w:val="%9."/>
      <w:lvlJc w:val="right"/>
      <w:pPr>
        <w:ind w:left="6480" w:hanging="180"/>
      </w:pPr>
    </w:lvl>
  </w:abstractNum>
  <w:abstractNum w:abstractNumId="2" w15:restartNumberingAfterBreak="0">
    <w:nsid w:val="45FB01CE"/>
    <w:multiLevelType w:val="hybridMultilevel"/>
    <w:tmpl w:val="D8AA9D86"/>
    <w:lvl w:ilvl="0" w:tplc="83DABDCA">
      <w:start w:val="1"/>
      <w:numFmt w:val="decimal"/>
      <w:lvlText w:val="%1."/>
      <w:lvlJc w:val="left"/>
      <w:pPr>
        <w:ind w:left="720" w:hanging="360"/>
      </w:pPr>
    </w:lvl>
    <w:lvl w:ilvl="1" w:tplc="5E0C7274">
      <w:start w:val="1"/>
      <w:numFmt w:val="lowerLetter"/>
      <w:lvlText w:val="%2."/>
      <w:lvlJc w:val="left"/>
      <w:pPr>
        <w:ind w:left="1440" w:hanging="360"/>
      </w:pPr>
    </w:lvl>
    <w:lvl w:ilvl="2" w:tplc="671CFEC6">
      <w:start w:val="1"/>
      <w:numFmt w:val="lowerRoman"/>
      <w:lvlText w:val="%3."/>
      <w:lvlJc w:val="right"/>
      <w:pPr>
        <w:ind w:left="2160" w:hanging="180"/>
      </w:pPr>
    </w:lvl>
    <w:lvl w:ilvl="3" w:tplc="9F9A7CC0">
      <w:start w:val="1"/>
      <w:numFmt w:val="decimal"/>
      <w:lvlText w:val="%4."/>
      <w:lvlJc w:val="left"/>
      <w:pPr>
        <w:ind w:left="2880" w:hanging="360"/>
      </w:pPr>
    </w:lvl>
    <w:lvl w:ilvl="4" w:tplc="40C64C52">
      <w:start w:val="1"/>
      <w:numFmt w:val="lowerLetter"/>
      <w:lvlText w:val="%5."/>
      <w:lvlJc w:val="left"/>
      <w:pPr>
        <w:ind w:left="3600" w:hanging="360"/>
      </w:pPr>
    </w:lvl>
    <w:lvl w:ilvl="5" w:tplc="76C4C078">
      <w:start w:val="1"/>
      <w:numFmt w:val="lowerRoman"/>
      <w:lvlText w:val="%6."/>
      <w:lvlJc w:val="right"/>
      <w:pPr>
        <w:ind w:left="4320" w:hanging="180"/>
      </w:pPr>
    </w:lvl>
    <w:lvl w:ilvl="6" w:tplc="3C74795E">
      <w:start w:val="1"/>
      <w:numFmt w:val="decimal"/>
      <w:lvlText w:val="%7."/>
      <w:lvlJc w:val="left"/>
      <w:pPr>
        <w:ind w:left="5040" w:hanging="360"/>
      </w:pPr>
    </w:lvl>
    <w:lvl w:ilvl="7" w:tplc="77FA37BC">
      <w:start w:val="1"/>
      <w:numFmt w:val="lowerLetter"/>
      <w:lvlText w:val="%8."/>
      <w:lvlJc w:val="left"/>
      <w:pPr>
        <w:ind w:left="5760" w:hanging="360"/>
      </w:pPr>
    </w:lvl>
    <w:lvl w:ilvl="8" w:tplc="8B0E3344">
      <w:start w:val="1"/>
      <w:numFmt w:val="lowerRoman"/>
      <w:lvlText w:val="%9."/>
      <w:lvlJc w:val="right"/>
      <w:pPr>
        <w:ind w:left="6480" w:hanging="180"/>
      </w:pPr>
    </w:lvl>
  </w:abstractNum>
  <w:abstractNum w:abstractNumId="3" w15:restartNumberingAfterBreak="0">
    <w:nsid w:val="4A53079F"/>
    <w:multiLevelType w:val="hybridMultilevel"/>
    <w:tmpl w:val="2CB208C8"/>
    <w:styleLink w:val="Numbered"/>
    <w:lvl w:ilvl="0" w:tplc="3ECA5C5A">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4A6CA3C4">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3202CF4C">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32C626EC">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A36E403C">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CF940B74">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A5706DA0">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21586E80">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AF54CEE6">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3"/>
  </w:num>
  <w:num w:numId="4">
    <w:abstractNumId w:val="0"/>
  </w:num>
  <w:num w:numId="5">
    <w:abstractNumId w:val="0"/>
    <w:lvlOverride w:ilvl="0">
      <w:startOverride w:val="1"/>
      <w:lvl w:ilvl="0" w:tplc="545CE880">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1">
      <w:startOverride w:val="1"/>
      <w:lvl w:ilvl="1" w:tplc="0E7E4E30">
        <w:start w:val="1"/>
        <w:numFmt w:val="decimal"/>
        <w:lvlText w:val="%2."/>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2">
      <w:startOverride w:val="1"/>
      <w:lvl w:ilvl="2" w:tplc="2084D16C">
        <w:start w:val="1"/>
        <w:numFmt w:val="decimal"/>
        <w:lvlText w:val="%3."/>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3">
      <w:startOverride w:val="1"/>
      <w:lvl w:ilvl="3" w:tplc="C1627198">
        <w:start w:val="1"/>
        <w:numFmt w:val="decimal"/>
        <w:lvlText w:val="%4."/>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4">
      <w:startOverride w:val="1"/>
      <w:lvl w:ilvl="4" w:tplc="660EBEBE">
        <w:start w:val="1"/>
        <w:numFmt w:val="decimal"/>
        <w:lvlText w:val="%5."/>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5">
      <w:startOverride w:val="1"/>
      <w:lvl w:ilvl="5" w:tplc="FAA4256C">
        <w:start w:val="1"/>
        <w:numFmt w:val="decimal"/>
        <w:lvlText w:val="%6."/>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6">
      <w:startOverride w:val="1"/>
      <w:lvl w:ilvl="6" w:tplc="FB604EB8">
        <w:start w:val="1"/>
        <w:numFmt w:val="decimal"/>
        <w:lvlText w:val="%7."/>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7">
      <w:startOverride w:val="1"/>
      <w:lvl w:ilvl="7" w:tplc="763E878A">
        <w:start w:val="1"/>
        <w:numFmt w:val="decimal"/>
        <w:lvlText w:val="%8."/>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8">
      <w:startOverride w:val="1"/>
      <w:lvl w:ilvl="8" w:tplc="5C3A8C98">
        <w:start w:val="1"/>
        <w:numFmt w:val="decimal"/>
        <w:lvlText w:val="%9."/>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num>
  <w:num w:numId="6">
    <w:abstractNumId w:val="0"/>
    <w:lvlOverride w:ilvl="0">
      <w:startOverride w:val="1"/>
      <w:lvl w:ilvl="0" w:tplc="545CE880">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1">
      <w:startOverride w:val="1"/>
      <w:lvl w:ilvl="1" w:tplc="0E7E4E30">
        <w:start w:val="1"/>
        <w:numFmt w:val="decimal"/>
        <w:lvlText w:val="%2."/>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2">
      <w:startOverride w:val="1"/>
      <w:lvl w:ilvl="2" w:tplc="2084D16C">
        <w:start w:val="1"/>
        <w:numFmt w:val="decimal"/>
        <w:lvlText w:val="%3."/>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3">
      <w:startOverride w:val="1"/>
      <w:lvl w:ilvl="3" w:tplc="C1627198">
        <w:start w:val="1"/>
        <w:numFmt w:val="decimal"/>
        <w:lvlText w:val="%4."/>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4">
      <w:startOverride w:val="1"/>
      <w:lvl w:ilvl="4" w:tplc="660EBEBE">
        <w:start w:val="1"/>
        <w:numFmt w:val="decimal"/>
        <w:lvlText w:val="%5."/>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5">
      <w:startOverride w:val="1"/>
      <w:lvl w:ilvl="5" w:tplc="FAA4256C">
        <w:start w:val="1"/>
        <w:numFmt w:val="decimal"/>
        <w:lvlText w:val="%6."/>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6">
      <w:startOverride w:val="1"/>
      <w:lvl w:ilvl="6" w:tplc="FB604EB8">
        <w:start w:val="1"/>
        <w:numFmt w:val="decimal"/>
        <w:lvlText w:val="%7."/>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7">
      <w:startOverride w:val="1"/>
      <w:lvl w:ilvl="7" w:tplc="763E878A">
        <w:start w:val="1"/>
        <w:numFmt w:val="decimal"/>
        <w:lvlText w:val="%8."/>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8">
      <w:startOverride w:val="1"/>
      <w:lvl w:ilvl="8" w:tplc="5C3A8C98">
        <w:start w:val="1"/>
        <w:numFmt w:val="decimal"/>
        <w:lvlText w:val="%9."/>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B205A6"/>
    <w:rsid w:val="00027F92"/>
    <w:rsid w:val="00343E7E"/>
    <w:rsid w:val="005679FB"/>
    <w:rsid w:val="007B620F"/>
    <w:rsid w:val="00910327"/>
    <w:rsid w:val="00AA5826"/>
    <w:rsid w:val="00C9679F"/>
    <w:rsid w:val="6DB20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D4FD5"/>
  <w15:docId w15:val="{0F4D7460-AEA8-4923-80A1-50596D7F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Numbered">
    <w:name w:val="Numbered"/>
    <w:pPr>
      <w:numPr>
        <w:numId w:val="3"/>
      </w:numPr>
    </w:pPr>
  </w:style>
  <w:style w:type="character" w:customStyle="1" w:styleId="Hyperlink0">
    <w:name w:val="Hyperlink.0"/>
    <w:basedOn w:val="Hyperlink"/>
    <w:rsid w:val="00343E7E"/>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rcid.org/0000-0002-7212-4788"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6683</Words>
  <Characters>38098</Characters>
  <Application>Microsoft Office Word</Application>
  <DocSecurity>0</DocSecurity>
  <Lines>317</Lines>
  <Paragraphs>89</Paragraphs>
  <ScaleCrop>false</ScaleCrop>
  <Company/>
  <LinksUpToDate>false</LinksUpToDate>
  <CharactersWithSpaces>44692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ritchie shoemaker</dc:creator>
  <cp:lastModifiedBy>ritchie shoemaker</cp:lastModifiedBy>
  <cp:revision>2</cp:revision>
  <dcterms:created xsi:type="dcterms:W3CDTF">2022-03-26T21:00:00Z</dcterms:created>
  <dcterms:modified xsi:type="dcterms:W3CDTF">2022-03-26T21:00:00Z</dcterms:modified>
</cp:coreProperties>
</file>