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4DD2" w14:textId="77777777" w:rsidR="002F1423" w:rsidRDefault="00927F0D">
      <w:pPr>
        <w:pStyle w:val="Default"/>
        <w:spacing w:before="0" w:line="480" w:lineRule="auto"/>
        <w:rPr>
          <w:rFonts w:ascii="Times New Roman" w:eastAsia="Times New Roman" w:hAnsi="Times New Roman" w:cs="Times New Roman"/>
          <w:b/>
          <w:bCs/>
          <w:color w:val="0E101A"/>
        </w:rPr>
      </w:pPr>
      <w:r>
        <w:rPr>
          <w:rFonts w:ascii="Times New Roman" w:hAnsi="Times New Roman"/>
          <w:b/>
          <w:bCs/>
          <w:color w:val="0E101A"/>
        </w:rPr>
        <w:t xml:space="preserve">Chronic Inflammatory Response Syndrome (CIRS) and Metabolism: </w:t>
      </w:r>
      <w:r>
        <w:rPr>
          <w:rFonts w:ascii="Times New Roman" w:hAnsi="Times New Roman"/>
          <w:b/>
          <w:bCs/>
          <w:color w:val="0E101A"/>
          <w:lang w:val="it-IT"/>
        </w:rPr>
        <w:t xml:space="preserve">Proliferative </w:t>
      </w:r>
      <w:r>
        <w:rPr>
          <w:rFonts w:ascii="Times New Roman" w:hAnsi="Times New Roman"/>
          <w:b/>
          <w:bCs/>
          <w:color w:val="0E101A"/>
        </w:rPr>
        <w:t xml:space="preserve">Physiology and Insulin Resistance </w:t>
      </w:r>
    </w:p>
    <w:p w14:paraId="3844620F" w14:textId="77777777" w:rsidR="002F1423" w:rsidRDefault="002F1423">
      <w:pPr>
        <w:pStyle w:val="Default"/>
        <w:spacing w:before="0" w:line="480" w:lineRule="auto"/>
        <w:rPr>
          <w:rFonts w:ascii="Times New Roman" w:eastAsia="Times New Roman" w:hAnsi="Times New Roman" w:cs="Times New Roman"/>
          <w:b/>
          <w:bCs/>
          <w:color w:val="0E101A"/>
        </w:rPr>
      </w:pPr>
    </w:p>
    <w:p w14:paraId="32729B1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Ritchie Shoemaker MD</w:t>
      </w:r>
    </w:p>
    <w:p w14:paraId="71B47953" w14:textId="77777777" w:rsidR="002F1423" w:rsidRDefault="002F1423">
      <w:pPr>
        <w:pStyle w:val="Default"/>
        <w:spacing w:before="0" w:line="480" w:lineRule="auto"/>
        <w:rPr>
          <w:rFonts w:ascii="Times New Roman" w:eastAsia="Times New Roman" w:hAnsi="Times New Roman" w:cs="Times New Roman"/>
          <w:color w:val="0E101A"/>
        </w:rPr>
      </w:pPr>
    </w:p>
    <w:p w14:paraId="339F594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Center for Research on Biotoxin Associated Illnesses, Pocomoke, MD</w:t>
      </w:r>
    </w:p>
    <w:p w14:paraId="03315AB5" w14:textId="77777777" w:rsidR="002F1423" w:rsidRDefault="002F1423">
      <w:pPr>
        <w:pStyle w:val="Default"/>
        <w:spacing w:before="0" w:line="480" w:lineRule="auto"/>
        <w:rPr>
          <w:rFonts w:ascii="Times New Roman" w:eastAsia="Times New Roman" w:hAnsi="Times New Roman" w:cs="Times New Roman"/>
          <w:color w:val="FF2600"/>
        </w:rPr>
      </w:pPr>
    </w:p>
    <w:p w14:paraId="177177AC" w14:textId="77777777" w:rsidR="002F1423" w:rsidRDefault="00927F0D">
      <w:pPr>
        <w:pStyle w:val="Default"/>
        <w:spacing w:before="0" w:line="480" w:lineRule="auto"/>
        <w:rPr>
          <w:rFonts w:ascii="Times New Roman" w:eastAsia="Times New Roman" w:hAnsi="Times New Roman" w:cs="Times New Roman"/>
          <w:color w:val="FF2600"/>
        </w:rPr>
      </w:pPr>
      <w:r>
        <w:rPr>
          <w:rFonts w:ascii="Times New Roman" w:hAnsi="Times New Roman"/>
          <w:color w:val="FF2600"/>
        </w:rPr>
        <w:t>Insert Orcid number:</w:t>
      </w:r>
    </w:p>
    <w:p w14:paraId="7708B183" w14:textId="77777777" w:rsidR="002F1423" w:rsidRDefault="002F1423">
      <w:pPr>
        <w:pStyle w:val="Default"/>
        <w:spacing w:before="0" w:line="480" w:lineRule="auto"/>
        <w:rPr>
          <w:rFonts w:ascii="Times New Roman" w:eastAsia="Times New Roman" w:hAnsi="Times New Roman" w:cs="Times New Roman"/>
          <w:color w:val="0E101A"/>
        </w:rPr>
      </w:pPr>
    </w:p>
    <w:p w14:paraId="238EEFF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Contents</w:t>
      </w:r>
    </w:p>
    <w:p w14:paraId="3D99B16D"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rPr>
        <w:t>1. Review</w:t>
      </w:r>
    </w:p>
    <w:p w14:paraId="4C386762" w14:textId="77777777" w:rsidR="002F1423" w:rsidRDefault="00927F0D">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color w:val="0E101A"/>
        </w:rPr>
        <w:tab/>
      </w:r>
      <w:r>
        <w:rPr>
          <w:rFonts w:ascii="Times New Roman" w:hAnsi="Times New Roman"/>
          <w:b/>
          <w:bCs/>
          <w:color w:val="0E101A"/>
        </w:rPr>
        <w:t xml:space="preserve">2. </w:t>
      </w:r>
      <w:r>
        <w:rPr>
          <w:rFonts w:ascii="Times New Roman" w:hAnsi="Times New Roman"/>
          <w:b/>
          <w:bCs/>
          <w:color w:val="0E101A"/>
        </w:rPr>
        <w:t>Severe Exercise Intolerance Disease</w:t>
      </w:r>
      <w:r>
        <w:rPr>
          <w:rFonts w:ascii="Times New Roman" w:hAnsi="Times New Roman"/>
          <w:color w:val="0E101A"/>
        </w:rPr>
        <w:t> </w:t>
      </w:r>
      <w:r>
        <w:rPr>
          <w:rFonts w:ascii="Times New Roman" w:hAnsi="Times New Roman"/>
          <w:color w:val="0E101A"/>
        </w:rPr>
        <w:t>(</w:t>
      </w:r>
      <w:r>
        <w:rPr>
          <w:rFonts w:ascii="Times New Roman" w:hAnsi="Times New Roman"/>
          <w:b/>
          <w:bCs/>
          <w:color w:val="0E101A"/>
        </w:rPr>
        <w:t xml:space="preserve">SEID), Chronic Inflammatory Response </w:t>
      </w:r>
      <w:r>
        <w:rPr>
          <w:rFonts w:ascii="Times New Roman" w:eastAsia="Times New Roman" w:hAnsi="Times New Roman" w:cs="Times New Roman"/>
          <w:b/>
          <w:bCs/>
          <w:color w:val="0E101A"/>
        </w:rPr>
        <w:tab/>
      </w:r>
    </w:p>
    <w:p w14:paraId="2AE2EAB4"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b/>
          <w:bCs/>
          <w:color w:val="0E101A"/>
        </w:rPr>
        <w:tab/>
        <w:t xml:space="preserve">    </w:t>
      </w:r>
      <w:r>
        <w:rPr>
          <w:rFonts w:ascii="Times New Roman" w:hAnsi="Times New Roman"/>
          <w:b/>
          <w:bCs/>
          <w:color w:val="0E101A"/>
        </w:rPr>
        <w:t>Syndrome (CIRS), and Metabolism</w:t>
      </w:r>
      <w:r>
        <w:rPr>
          <w:rFonts w:ascii="Times New Roman" w:eastAsia="Times New Roman" w:hAnsi="Times New Roman" w:cs="Times New Roman"/>
          <w:b/>
          <w:bCs/>
          <w:color w:val="0E101A"/>
        </w:rPr>
        <w:tab/>
        <w:t xml:space="preserve"> </w:t>
      </w:r>
    </w:p>
    <w:p w14:paraId="5E52B589"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lang w:val="pt-PT"/>
        </w:rPr>
        <w:t>3. Molecular Hypometabolism</w:t>
      </w:r>
      <w:r>
        <w:rPr>
          <w:rFonts w:ascii="Times New Roman" w:hAnsi="Times New Roman"/>
          <w:b/>
          <w:bCs/>
          <w:color w:val="0E101A"/>
        </w:rPr>
        <w:t xml:space="preserve"> (MHM)</w:t>
      </w:r>
    </w:p>
    <w:p w14:paraId="260B20D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lang w:val="pt-PT"/>
        </w:rPr>
        <w:t>4. Metabolic Acidosis</w:t>
      </w:r>
    </w:p>
    <w:p w14:paraId="13F68F73"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4.1</w:t>
      </w:r>
      <w:r>
        <w:rPr>
          <w:rFonts w:ascii="Times New Roman" w:hAnsi="Times New Roman"/>
          <w:color w:val="0E101A"/>
        </w:rPr>
        <w:t> </w:t>
      </w:r>
      <w:r>
        <w:rPr>
          <w:rFonts w:ascii="Times New Roman" w:hAnsi="Times New Roman"/>
          <w:b/>
          <w:bCs/>
          <w:color w:val="0E101A"/>
        </w:rPr>
        <w:t>Specifics of Glycolysis and Pyruvate</w:t>
      </w:r>
    </w:p>
    <w:p w14:paraId="74E9F7F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4.2</w:t>
      </w:r>
      <w:r>
        <w:rPr>
          <w:rFonts w:ascii="Times New Roman" w:hAnsi="Times New Roman"/>
          <w:color w:val="0E101A"/>
        </w:rPr>
        <w:t> </w:t>
      </w:r>
      <w:r>
        <w:rPr>
          <w:rFonts w:ascii="Times New Roman" w:hAnsi="Times New Roman"/>
          <w:b/>
          <w:bCs/>
          <w:color w:val="0E101A"/>
          <w:lang w:val="da-DK"/>
        </w:rPr>
        <w:t xml:space="preserve">Voltage-Dependent Anion </w:t>
      </w:r>
      <w:r>
        <w:rPr>
          <w:rFonts w:ascii="Times New Roman" w:hAnsi="Times New Roman"/>
          <w:b/>
          <w:bCs/>
          <w:color w:val="0E101A"/>
          <w:lang w:val="da-DK"/>
        </w:rPr>
        <w:t>Channels</w:t>
      </w:r>
      <w:r>
        <w:rPr>
          <w:rFonts w:ascii="Times New Roman" w:hAnsi="Times New Roman"/>
          <w:b/>
          <w:bCs/>
          <w:color w:val="0E101A"/>
        </w:rPr>
        <w:t xml:space="preserve"> (VDAC) and Pyruvate</w:t>
      </w:r>
      <w:r>
        <w:rPr>
          <w:rFonts w:ascii="Times New Roman" w:hAnsi="Times New Roman"/>
          <w:b/>
          <w:bCs/>
          <w:color w:val="0E101A"/>
        </w:rPr>
        <w:t>   </w:t>
      </w:r>
    </w:p>
    <w:p w14:paraId="4EDB43C8"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rPr>
        <w:t>5. Focus on the Warburg Effect</w:t>
      </w:r>
    </w:p>
    <w:p w14:paraId="4CC42333"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rPr>
        <w:t>6. Transcriptomics and Metabolism</w:t>
      </w:r>
    </w:p>
    <w:p w14:paraId="1B8749AD"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rPr>
        <w:t>7. Insulin Receptor Substrate 2</w:t>
      </w:r>
      <w:r>
        <w:rPr>
          <w:rFonts w:ascii="Times New Roman" w:hAnsi="Times New Roman"/>
          <w:b/>
          <w:bCs/>
          <w:color w:val="0E101A"/>
        </w:rPr>
        <w:t xml:space="preserve"> </w:t>
      </w:r>
      <w:r>
        <w:rPr>
          <w:rFonts w:ascii="Times New Roman" w:hAnsi="Times New Roman"/>
          <w:b/>
          <w:bCs/>
          <w:color w:val="0E101A"/>
          <w:lang w:val="pt-PT"/>
        </w:rPr>
        <w:t>(IRS2)</w:t>
      </w:r>
    </w:p>
    <w:p w14:paraId="302225C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rPr>
        <w:t>8. Metabolic Complications: Pulmonary Hypertension</w:t>
      </w:r>
      <w:r>
        <w:rPr>
          <w:rFonts w:ascii="Times New Roman" w:hAnsi="Times New Roman"/>
          <w:color w:val="0E101A"/>
        </w:rPr>
        <w:t> </w:t>
      </w:r>
      <w:r>
        <w:rPr>
          <w:rFonts w:ascii="Times New Roman" w:hAnsi="Times New Roman"/>
          <w:b/>
          <w:bCs/>
          <w:color w:val="0E101A"/>
        </w:rPr>
        <w:t>(PAH)</w:t>
      </w:r>
    </w:p>
    <w:p w14:paraId="290FF20D"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 xml:space="preserve">8.1 Gamma Interferon Activated Inhibitor of Translation Complex (GAIT) is </w:t>
      </w:r>
      <w:r>
        <w:rPr>
          <w:rFonts w:ascii="Times New Roman" w:eastAsia="Times New Roman" w:hAnsi="Times New Roman" w:cs="Times New Roman"/>
          <w:b/>
          <w:bCs/>
          <w:color w:val="0E101A"/>
        </w:rPr>
        <w:tab/>
      </w:r>
      <w:r>
        <w:rPr>
          <w:rFonts w:ascii="Times New Roman" w:eastAsia="Times New Roman" w:hAnsi="Times New Roman" w:cs="Times New Roman"/>
          <w:b/>
          <w:bCs/>
          <w:color w:val="0E101A"/>
        </w:rPr>
        <w:tab/>
        <w:t xml:space="preserve">      </w:t>
      </w:r>
      <w:r>
        <w:rPr>
          <w:rFonts w:ascii="Times New Roman" w:hAnsi="Times New Roman"/>
          <w:b/>
          <w:bCs/>
          <w:color w:val="0E101A"/>
        </w:rPr>
        <w:t>One of Many Biologic Controls on Inflammation</w:t>
      </w:r>
    </w:p>
    <w:p w14:paraId="63C59D6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lastRenderedPageBreak/>
        <w:tab/>
      </w:r>
      <w:r>
        <w:rPr>
          <w:rFonts w:ascii="Times New Roman" w:eastAsia="Times New Roman" w:hAnsi="Times New Roman" w:cs="Times New Roman"/>
          <w:color w:val="0E101A"/>
        </w:rPr>
        <w:tab/>
      </w:r>
      <w:r>
        <w:rPr>
          <w:rFonts w:ascii="Times New Roman" w:hAnsi="Times New Roman"/>
          <w:b/>
          <w:bCs/>
          <w:color w:val="0E101A"/>
        </w:rPr>
        <w:t>8.2 Myeloid Cells</w:t>
      </w:r>
    </w:p>
    <w:p w14:paraId="2F33AF7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8.3 Hexosamine Biosynthetic Pathway (HBP)</w:t>
      </w:r>
    </w:p>
    <w:p w14:paraId="6CDE38A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8.3.1 Inside Insulin Resistance</w:t>
      </w:r>
    </w:p>
    <w:p w14:paraId="24310849"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 xml:space="preserve">8.4 T Regulatory Cells </w:t>
      </w:r>
      <w:r>
        <w:rPr>
          <w:rFonts w:ascii="Times New Roman" w:hAnsi="Times New Roman"/>
          <w:b/>
          <w:bCs/>
          <w:color w:val="0E101A"/>
        </w:rPr>
        <w:t>and Proliferative Physiology</w:t>
      </w:r>
      <w:r>
        <w:rPr>
          <w:rFonts w:ascii="Times New Roman" w:eastAsia="Times New Roman" w:hAnsi="Times New Roman" w:cs="Times New Roman"/>
          <w:b/>
          <w:bCs/>
          <w:color w:val="0E101A"/>
        </w:rPr>
        <w:tab/>
        <w:t xml:space="preserve">    </w:t>
      </w:r>
      <w:r>
        <w:rPr>
          <w:rFonts w:ascii="Times New Roman" w:eastAsia="Times New Roman" w:hAnsi="Times New Roman" w:cs="Times New Roman"/>
          <w:b/>
          <w:bCs/>
          <w:color w:val="0E101A"/>
        </w:rPr>
        <w:tab/>
      </w:r>
      <w:r>
        <w:rPr>
          <w:rFonts w:ascii="Times New Roman" w:eastAsia="Times New Roman" w:hAnsi="Times New Roman" w:cs="Times New Roman"/>
          <w:b/>
          <w:bCs/>
          <w:color w:val="0E101A"/>
        </w:rPr>
        <w:tab/>
        <w:t xml:space="preserve">      </w:t>
      </w:r>
      <w:r>
        <w:rPr>
          <w:rFonts w:ascii="Times New Roman" w:eastAsia="Times New Roman" w:hAnsi="Times New Roman" w:cs="Times New Roman"/>
          <w:b/>
          <w:bCs/>
          <w:color w:val="0E101A"/>
        </w:rPr>
        <w:tab/>
        <w:t xml:space="preserve"> </w:t>
      </w:r>
    </w:p>
    <w:p w14:paraId="08179E48"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8.5 Brain Atrophy</w:t>
      </w:r>
    </w:p>
    <w:p w14:paraId="0D1FE7C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hAnsi="Times New Roman"/>
          <w:b/>
          <w:bCs/>
          <w:color w:val="0E101A"/>
        </w:rPr>
        <w:t>9. The Study</w:t>
      </w:r>
    </w:p>
    <w:p w14:paraId="1C0AA86A"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9.1 Methods</w:t>
      </w:r>
    </w:p>
    <w:p w14:paraId="5FEBA10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9.2 Sequencing</w:t>
      </w:r>
    </w:p>
    <w:p w14:paraId="6D8E78EA"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9.3 Sequencing Analysis</w:t>
      </w:r>
    </w:p>
    <w:p w14:paraId="0DC1994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9.4 Nano</w:t>
      </w:r>
      <w:r>
        <w:rPr>
          <w:rFonts w:ascii="Times New Roman" w:hAnsi="Times New Roman"/>
          <w:b/>
          <w:bCs/>
          <w:color w:val="0E101A"/>
        </w:rPr>
        <w:t>S</w:t>
      </w:r>
      <w:r>
        <w:rPr>
          <w:rFonts w:ascii="Times New Roman" w:hAnsi="Times New Roman"/>
          <w:b/>
          <w:bCs/>
          <w:color w:val="0E101A"/>
        </w:rPr>
        <w:t>tring</w:t>
      </w:r>
    </w:p>
    <w:p w14:paraId="572109F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9.5 Results</w:t>
      </w:r>
    </w:p>
    <w:p w14:paraId="2988EB4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color w:val="0E101A"/>
        </w:rPr>
        <w:tab/>
      </w:r>
      <w:r>
        <w:rPr>
          <w:rFonts w:ascii="Times New Roman" w:eastAsia="Times New Roman" w:hAnsi="Times New Roman" w:cs="Times New Roman"/>
          <w:color w:val="0E101A"/>
        </w:rPr>
        <w:tab/>
      </w:r>
      <w:r>
        <w:rPr>
          <w:rFonts w:ascii="Times New Roman" w:hAnsi="Times New Roman"/>
          <w:b/>
          <w:bCs/>
          <w:color w:val="0E101A"/>
        </w:rPr>
        <w:t>9.6 Discussion</w:t>
      </w:r>
    </w:p>
    <w:p w14:paraId="04B7D240" w14:textId="77777777" w:rsidR="002F1423" w:rsidRDefault="00927F0D">
      <w:pPr>
        <w:pStyle w:val="Default"/>
        <w:spacing w:before="0" w:line="480" w:lineRule="auto"/>
        <w:rPr>
          <w:rFonts w:ascii="Times New Roman" w:eastAsia="Times New Roman" w:hAnsi="Times New Roman" w:cs="Times New Roman"/>
          <w:b/>
          <w:bCs/>
          <w:color w:val="0E101A"/>
        </w:rPr>
      </w:pPr>
      <w:r>
        <w:rPr>
          <w:rFonts w:ascii="Times New Roman" w:eastAsia="Times New Roman" w:hAnsi="Times New Roman" w:cs="Times New Roman"/>
          <w:color w:val="0E101A"/>
        </w:rPr>
        <w:tab/>
      </w:r>
      <w:r>
        <w:rPr>
          <w:rFonts w:ascii="Times New Roman" w:hAnsi="Times New Roman"/>
          <w:b/>
          <w:bCs/>
          <w:color w:val="0E101A"/>
          <w:lang w:val="fr-FR"/>
        </w:rPr>
        <w:t>10. Conclusions</w:t>
      </w:r>
    </w:p>
    <w:p w14:paraId="1B099C99"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eastAsia="Times New Roman" w:hAnsi="Times New Roman" w:cs="Times New Roman"/>
          <w:b/>
          <w:bCs/>
          <w:color w:val="0E101A"/>
        </w:rPr>
        <w:tab/>
        <w:t>11. Bibliography</w:t>
      </w:r>
    </w:p>
    <w:p w14:paraId="5AC947A9" w14:textId="77777777" w:rsidR="002F1423" w:rsidRDefault="002F1423">
      <w:pPr>
        <w:pStyle w:val="Default"/>
        <w:spacing w:before="0" w:line="480" w:lineRule="auto"/>
        <w:rPr>
          <w:rFonts w:ascii="Times New Roman" w:eastAsia="Times New Roman" w:hAnsi="Times New Roman" w:cs="Times New Roman"/>
          <w:color w:val="0E101A"/>
        </w:rPr>
      </w:pPr>
    </w:p>
    <w:p w14:paraId="76CF136E" w14:textId="77777777" w:rsidR="002F1423" w:rsidRDefault="002F1423">
      <w:pPr>
        <w:pStyle w:val="Default"/>
        <w:spacing w:before="0" w:line="480" w:lineRule="auto"/>
        <w:rPr>
          <w:rFonts w:ascii="Times New Roman" w:eastAsia="Times New Roman" w:hAnsi="Times New Roman" w:cs="Times New Roman"/>
          <w:color w:val="0E101A"/>
        </w:rPr>
      </w:pPr>
    </w:p>
    <w:p w14:paraId="0129588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1. Review</w:t>
      </w:r>
    </w:p>
    <w:p w14:paraId="2A35E65F" w14:textId="77777777" w:rsidR="002F1423" w:rsidRDefault="002F1423">
      <w:pPr>
        <w:pStyle w:val="Default"/>
        <w:spacing w:before="0" w:line="480" w:lineRule="auto"/>
        <w:rPr>
          <w:rFonts w:ascii="Times New Roman" w:eastAsia="Times New Roman" w:hAnsi="Times New Roman" w:cs="Times New Roman"/>
          <w:color w:val="0E101A"/>
        </w:rPr>
      </w:pPr>
    </w:p>
    <w:p w14:paraId="70D38E3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lang w:val="es-ES_tradnl"/>
        </w:rPr>
        <w:t>Metabolism</w:t>
      </w:r>
      <w:r>
        <w:rPr>
          <w:rFonts w:ascii="Times New Roman" w:hAnsi="Times New Roman"/>
          <w:color w:val="0E101A"/>
        </w:rPr>
        <w:t> </w:t>
      </w:r>
      <w:r>
        <w:rPr>
          <w:rFonts w:ascii="Times New Roman" w:hAnsi="Times New Roman"/>
          <w:color w:val="0E101A"/>
        </w:rPr>
        <w:t xml:space="preserve">is the </w:t>
      </w:r>
      <w:r>
        <w:rPr>
          <w:rFonts w:ascii="Times New Roman" w:hAnsi="Times New Roman"/>
          <w:color w:val="0E101A"/>
        </w:rPr>
        <w:t>group of biochemical processes needed to maintain cellular life.</w:t>
      </w:r>
      <w:r>
        <w:rPr>
          <w:rFonts w:ascii="Times New Roman" w:hAnsi="Times New Roman"/>
          <w:color w:val="0E101A"/>
          <w:vertAlign w:val="superscript"/>
        </w:rPr>
        <w:t>1</w:t>
      </w:r>
      <w:r>
        <w:rPr>
          <w:rFonts w:ascii="Times New Roman" w:hAnsi="Times New Roman"/>
          <w:color w:val="0E101A"/>
        </w:rPr>
        <w:t xml:space="preserve"> This broad term classifies all metabolic processes into a single over-arching, process-interacting system. Such an all-encompassing term does not define the distinct bases of metabolism or t</w:t>
      </w:r>
      <w:r>
        <w:rPr>
          <w:rFonts w:ascii="Times New Roman" w:hAnsi="Times New Roman"/>
          <w:color w:val="0E101A"/>
        </w:rPr>
        <w:t xml:space="preserve">heir interplay with other systems, including inflammation. Specific elements of the definition of metabolism support an enhanced understanding of unique metabolic functions but lost is the cohesive </w:t>
      </w:r>
      <w:r>
        <w:rPr>
          <w:rFonts w:ascii="Times New Roman" w:hAnsi="Times New Roman"/>
          <w:color w:val="0E101A"/>
        </w:rPr>
        <w:lastRenderedPageBreak/>
        <w:t>consideration of all metabolic processes acting in concert</w:t>
      </w:r>
      <w:r>
        <w:rPr>
          <w:rFonts w:ascii="Times New Roman" w:hAnsi="Times New Roman"/>
          <w:color w:val="0E101A"/>
        </w:rPr>
        <w:t xml:space="preserve"> to maintain life and health.</w:t>
      </w:r>
      <w:r>
        <w:rPr>
          <w:rFonts w:ascii="Times New Roman" w:hAnsi="Times New Roman"/>
          <w:color w:val="0E101A"/>
          <w:vertAlign w:val="superscript"/>
        </w:rPr>
        <w:t>1</w:t>
      </w:r>
      <w:r>
        <w:rPr>
          <w:rFonts w:ascii="Times New Roman" w:hAnsi="Times New Roman"/>
          <w:color w:val="0E101A"/>
        </w:rPr>
        <w:t xml:space="preserve"> New data on the interaction of metabolism with inflammation, combined with transcriptomic findings in syndromes characterized by chronic inflammation, are uncommon.</w:t>
      </w:r>
    </w:p>
    <w:p w14:paraId="7F04F404" w14:textId="77777777" w:rsidR="002F1423" w:rsidRDefault="002F1423">
      <w:pPr>
        <w:pStyle w:val="Default"/>
        <w:spacing w:before="0" w:line="480" w:lineRule="auto"/>
        <w:rPr>
          <w:rFonts w:ascii="Times New Roman" w:eastAsia="Times New Roman" w:hAnsi="Times New Roman" w:cs="Times New Roman"/>
          <w:color w:val="0E101A"/>
        </w:rPr>
      </w:pPr>
    </w:p>
    <w:p w14:paraId="7C12400D"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An indirect understanding of research foci in metabolism co</w:t>
      </w:r>
      <w:r>
        <w:rPr>
          <w:rFonts w:ascii="Times New Roman" w:hAnsi="Times New Roman"/>
          <w:color w:val="0E101A"/>
        </w:rPr>
        <w:t>mes from the prevalence of search words on PubMed. Citations assessed 2/15/2020 included 7,914,000 that were devoted just to [metabolism], with over half of those citations (4,819,000) indexed to [metabolism, protein]. [Disorders of protein metabolism] bro</w:t>
      </w:r>
      <w:r>
        <w:rPr>
          <w:rFonts w:ascii="Times New Roman" w:hAnsi="Times New Roman"/>
          <w:color w:val="0E101A"/>
        </w:rPr>
        <w:t>ught up nearly 1,000,000 hits. [Metabolism, glucose] brought 435,000 matches, but [disorders of glucose metabolism] had only 177,000 matches.</w:t>
      </w:r>
      <w:r>
        <w:rPr>
          <w:rFonts w:ascii="Times New Roman" w:hAnsi="Times New Roman"/>
          <w:b/>
          <w:bCs/>
          <w:color w:val="0E101A"/>
        </w:rPr>
        <w:t> </w:t>
      </w:r>
      <w:r>
        <w:rPr>
          <w:rFonts w:ascii="Times New Roman" w:hAnsi="Times New Roman"/>
          <w:color w:val="0E101A"/>
        </w:rPr>
        <w:t>So here is a massive scientific database on metabolism and disorders of metabolism of proteins and sugars, but the</w:t>
      </w:r>
      <w:r>
        <w:rPr>
          <w:rFonts w:ascii="Times New Roman" w:hAnsi="Times New Roman"/>
          <w:color w:val="0E101A"/>
        </w:rPr>
        <w:t>re is a discrepancy between general versus specific topics in metabolism.</w:t>
      </w:r>
      <w:r>
        <w:rPr>
          <w:rFonts w:ascii="Times New Roman" w:hAnsi="Times New Roman"/>
          <w:color w:val="0E101A"/>
        </w:rPr>
        <w:t> </w:t>
      </w:r>
    </w:p>
    <w:p w14:paraId="633023A3" w14:textId="77777777" w:rsidR="002F1423" w:rsidRDefault="002F1423">
      <w:pPr>
        <w:pStyle w:val="Default"/>
        <w:spacing w:before="0" w:line="480" w:lineRule="auto"/>
        <w:rPr>
          <w:rFonts w:ascii="Times New Roman" w:eastAsia="Times New Roman" w:hAnsi="Times New Roman" w:cs="Times New Roman"/>
          <w:color w:val="0E101A"/>
        </w:rPr>
      </w:pPr>
    </w:p>
    <w:p w14:paraId="48D41A3A"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Against this dense background of the discussion of the essential elements of metabolism, we have the new transcriptomic findings of </w:t>
      </w:r>
      <w:r>
        <w:rPr>
          <w:rFonts w:ascii="Times New Roman" w:hAnsi="Times New Roman"/>
          <w:color w:val="0E101A"/>
        </w:rPr>
        <w:t>“</w:t>
      </w:r>
      <w:r>
        <w:rPr>
          <w:rFonts w:ascii="Times New Roman" w:hAnsi="Times New Roman"/>
          <w:color w:val="0E101A"/>
          <w:lang w:val="pt-PT"/>
        </w:rPr>
        <w:t>molecular hypometabolism</w:t>
      </w:r>
      <w:r>
        <w:rPr>
          <w:rFonts w:ascii="Times New Roman" w:hAnsi="Times New Roman"/>
          <w:color w:val="0E101A"/>
        </w:rPr>
        <w:t>”</w:t>
      </w:r>
      <w:r>
        <w:rPr>
          <w:rFonts w:ascii="Times New Roman" w:hAnsi="Times New Roman"/>
          <w:color w:val="0E101A"/>
        </w:rPr>
        <w:t xml:space="preserve"> (MHM), coined by Dr. James Ryan in 2016. The findings describe the simultaneous reduction in the number of copies of ribosomal mRNA and mitoribosomal mRNA made by individuals with a chronic, multisystem, multi-symptom illness. Chronic fatigue</w:t>
      </w:r>
      <w:r>
        <w:rPr>
          <w:rFonts w:ascii="Times New Roman" w:hAnsi="Times New Roman"/>
          <w:color w:val="0E101A"/>
          <w:vertAlign w:val="superscript"/>
        </w:rPr>
        <w:t>2, 3, 4</w:t>
      </w:r>
      <w:r>
        <w:rPr>
          <w:rFonts w:ascii="Times New Roman" w:hAnsi="Times New Roman"/>
          <w:color w:val="0E101A"/>
        </w:rPr>
        <w:t xml:space="preserve"> of a </w:t>
      </w:r>
      <w:r>
        <w:rPr>
          <w:rFonts w:ascii="Times New Roman" w:hAnsi="Times New Roman"/>
          <w:color w:val="0E101A"/>
        </w:rPr>
        <w:t>particular type called chronic inflammatory response syndrome (CIRS) is a hallmark of MHM. Of note is the increased production of inflammatory compounds that accompanies the suppression of the production of ribosomal mRNA.</w:t>
      </w:r>
      <w:r>
        <w:rPr>
          <w:rFonts w:ascii="Times New Roman" w:hAnsi="Times New Roman"/>
          <w:color w:val="0E101A"/>
          <w:vertAlign w:val="superscript"/>
        </w:rPr>
        <w:t>4</w:t>
      </w:r>
      <w:r>
        <w:rPr>
          <w:rFonts w:ascii="Times New Roman" w:hAnsi="Times New Roman"/>
          <w:color w:val="0E101A"/>
        </w:rPr>
        <w:t> </w:t>
      </w:r>
    </w:p>
    <w:p w14:paraId="0BFF0022" w14:textId="77777777" w:rsidR="002F1423" w:rsidRDefault="002F1423">
      <w:pPr>
        <w:pStyle w:val="Default"/>
        <w:spacing w:before="0" w:line="480" w:lineRule="auto"/>
        <w:rPr>
          <w:rFonts w:ascii="Times New Roman" w:eastAsia="Times New Roman" w:hAnsi="Times New Roman" w:cs="Times New Roman"/>
          <w:color w:val="0E101A"/>
        </w:rPr>
      </w:pPr>
    </w:p>
    <w:p w14:paraId="50B4E2C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Nearly all CIRS cases also </w:t>
      </w:r>
      <w:r>
        <w:rPr>
          <w:rFonts w:ascii="Times New Roman" w:hAnsi="Times New Roman"/>
          <w:color w:val="0E101A"/>
        </w:rPr>
        <w:t>meet the case definition for Chronic Fatigue Syndrome (CFS)</w:t>
      </w:r>
      <w:r>
        <w:rPr>
          <w:rFonts w:ascii="Times New Roman" w:hAnsi="Times New Roman"/>
          <w:color w:val="0E101A"/>
          <w:vertAlign w:val="superscript"/>
        </w:rPr>
        <w:t>5</w:t>
      </w:r>
      <w:r>
        <w:rPr>
          <w:rFonts w:ascii="Times New Roman" w:hAnsi="Times New Roman"/>
          <w:color w:val="0E101A"/>
        </w:rPr>
        <w:t xml:space="preserve"> and Severe Exercise Intolerance Disease (SEID), though CFS and SEID have no specific </w:t>
      </w:r>
      <w:r>
        <w:rPr>
          <w:rFonts w:ascii="Times New Roman" w:hAnsi="Times New Roman"/>
          <w:color w:val="0E101A"/>
        </w:rPr>
        <w:lastRenderedPageBreak/>
        <w:t>biomarkers.</w:t>
      </w:r>
      <w:r>
        <w:rPr>
          <w:rFonts w:ascii="Times New Roman" w:hAnsi="Times New Roman"/>
          <w:color w:val="0E101A"/>
          <w:vertAlign w:val="superscript"/>
        </w:rPr>
        <w:t>6</w:t>
      </w:r>
      <w:r>
        <w:rPr>
          <w:rFonts w:ascii="Times New Roman" w:hAnsi="Times New Roman"/>
          <w:color w:val="0E101A"/>
        </w:rPr>
        <w:t xml:space="preserve"> CIRS has at least 15 biomarkers.</w:t>
      </w:r>
      <w:r>
        <w:rPr>
          <w:rFonts w:ascii="Times New Roman" w:hAnsi="Times New Roman"/>
          <w:color w:val="0E101A"/>
          <w:vertAlign w:val="superscript"/>
        </w:rPr>
        <w:t>7</w:t>
      </w:r>
      <w:r>
        <w:rPr>
          <w:rFonts w:ascii="Times New Roman" w:hAnsi="Times New Roman"/>
          <w:color w:val="0E101A"/>
        </w:rPr>
        <w:t xml:space="preserve"> For these individuals, compromise of metabolism may be adaptive</w:t>
      </w:r>
      <w:r>
        <w:rPr>
          <w:rFonts w:ascii="Times New Roman" w:hAnsi="Times New Roman"/>
          <w:color w:val="0E101A"/>
        </w:rPr>
        <w:t xml:space="preserve">, providing the potential for cell survival in an inflammatory or ribotoxin-mediated attack on protein synthesis at the sarcin-ricin loop </w:t>
      </w:r>
      <w:r>
        <w:rPr>
          <w:rFonts w:ascii="Times New Roman" w:hAnsi="Times New Roman"/>
        </w:rPr>
        <w:t>(</w:t>
      </w:r>
      <w:r>
        <w:rPr>
          <w:rFonts w:ascii="Times New Roman" w:hAnsi="Times New Roman"/>
        </w:rPr>
        <w:t>SRL),</w:t>
      </w:r>
      <w:r>
        <w:rPr>
          <w:rFonts w:ascii="Times New Roman" w:hAnsi="Times New Roman"/>
          <w:vertAlign w:val="superscript"/>
        </w:rPr>
        <w:t>8</w:t>
      </w:r>
      <w:r>
        <w:rPr>
          <w:rFonts w:ascii="Times New Roman" w:hAnsi="Times New Roman"/>
        </w:rPr>
        <w:t xml:space="preserve"> </w:t>
      </w:r>
      <w:r>
        <w:rPr>
          <w:rFonts w:ascii="Times New Roman" w:hAnsi="Times New Roman"/>
          <w:color w:val="0E101A"/>
        </w:rPr>
        <w:t xml:space="preserve">an evolutionarily conserved structure located between the large and small subunits of ribosomes. Found in </w:t>
      </w:r>
      <w:r>
        <w:rPr>
          <w:rFonts w:ascii="Times New Roman" w:hAnsi="Times New Roman"/>
          <w:color w:val="0E101A"/>
        </w:rPr>
        <w:t>all living organisms and directly involved with initiation, elongation, and termination of amino acid chains, one may speculate as to the source of the paucity of papers on the incredibly important role in the metabolism of ribosomal protein production pla</w:t>
      </w:r>
      <w:r>
        <w:rPr>
          <w:rFonts w:ascii="Times New Roman" w:hAnsi="Times New Roman"/>
          <w:color w:val="0E101A"/>
        </w:rPr>
        <w:t>yed by the SRL (number of papers on [metabolism, SRL] =177) compared to [metabolism, ribosomes] (=44,400).</w:t>
      </w:r>
      <w:r>
        <w:rPr>
          <w:rFonts w:ascii="Times New Roman" w:hAnsi="Times New Roman"/>
          <w:color w:val="0E101A"/>
        </w:rPr>
        <w:t> </w:t>
      </w:r>
    </w:p>
    <w:p w14:paraId="466BEE1D" w14:textId="77777777" w:rsidR="002F1423" w:rsidRDefault="002F1423">
      <w:pPr>
        <w:pStyle w:val="Default"/>
        <w:spacing w:before="0" w:line="480" w:lineRule="auto"/>
        <w:rPr>
          <w:rFonts w:ascii="Times New Roman" w:eastAsia="Times New Roman" w:hAnsi="Times New Roman" w:cs="Times New Roman"/>
          <w:color w:val="0E101A"/>
        </w:rPr>
      </w:pPr>
    </w:p>
    <w:p w14:paraId="359AACD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severe cellular impairment created by the simultaneous suppression of nuclear-encoded mitochondrial genes adds to decreased protein production </w:t>
      </w:r>
      <w:r>
        <w:rPr>
          <w:rFonts w:ascii="Times New Roman" w:hAnsi="Times New Roman"/>
          <w:color w:val="0E101A"/>
        </w:rPr>
        <w:t>and innate immune inflammation in MHM. While putative mitochondrial dysfunction in CFS and CIRS has many proponents, we must account for differential gene activity for mitochondrial genes that have migrated to the nucleus over several billion years. Nuclea</w:t>
      </w:r>
      <w:r>
        <w:rPr>
          <w:rFonts w:ascii="Times New Roman" w:hAnsi="Times New Roman"/>
          <w:color w:val="0E101A"/>
        </w:rPr>
        <w:t>r-encoded mitochondrial genes number in the hundreds, but only 37 genes remain in the mitochondrial genome.</w:t>
      </w:r>
      <w:r>
        <w:rPr>
          <w:rFonts w:ascii="Times New Roman" w:hAnsi="Times New Roman"/>
          <w:color w:val="0E101A"/>
          <w:vertAlign w:val="superscript"/>
        </w:rPr>
        <w:t>9</w:t>
      </w:r>
      <w:r>
        <w:rPr>
          <w:rFonts w:ascii="Times New Roman" w:hAnsi="Times New Roman"/>
          <w:color w:val="0E101A"/>
        </w:rPr>
        <w:t> </w:t>
      </w:r>
    </w:p>
    <w:p w14:paraId="09E6B4CA" w14:textId="77777777" w:rsidR="002F1423" w:rsidRDefault="002F1423">
      <w:pPr>
        <w:pStyle w:val="Default"/>
        <w:spacing w:before="0" w:line="480" w:lineRule="auto"/>
        <w:rPr>
          <w:rFonts w:ascii="Times New Roman" w:eastAsia="Times New Roman" w:hAnsi="Times New Roman" w:cs="Times New Roman"/>
          <w:color w:val="0E101A"/>
        </w:rPr>
      </w:pPr>
    </w:p>
    <w:p w14:paraId="72B271B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Specifically, genes for electron transport chain (ETC) and ATP synthases were noted by Dr. Ryan to be suppressed, as were translocases. Transloca</w:t>
      </w:r>
      <w:r>
        <w:rPr>
          <w:rFonts w:ascii="Times New Roman" w:hAnsi="Times New Roman"/>
          <w:color w:val="0E101A"/>
        </w:rPr>
        <w:t>ses move nuclear gene-encoded products out of the cytosol, across the outer mitochondrial membrane, in conjunction with porins, small electrically charged channels (voltage-dependent anion channels, VDAC) that permit entry of ions, solutes, ADP, and pyruva</w:t>
      </w:r>
      <w:r>
        <w:rPr>
          <w:rFonts w:ascii="Times New Roman" w:hAnsi="Times New Roman"/>
          <w:color w:val="0E101A"/>
        </w:rPr>
        <w:t>te against a gradient into the intermembranous space.</w:t>
      </w:r>
      <w:r>
        <w:rPr>
          <w:rFonts w:ascii="Times New Roman" w:hAnsi="Times New Roman"/>
          <w:color w:val="0E101A"/>
          <w:vertAlign w:val="superscript"/>
        </w:rPr>
        <w:t>10, 11, 12, 13</w:t>
      </w:r>
      <w:r>
        <w:rPr>
          <w:rFonts w:ascii="Times New Roman" w:hAnsi="Times New Roman"/>
          <w:color w:val="0E101A"/>
        </w:rPr>
        <w:t xml:space="preserve"> Specific carriers will complete delivery across the inner mitochondrial membrane to the matrix.</w:t>
      </w:r>
      <w:r>
        <w:rPr>
          <w:rFonts w:ascii="Times New Roman" w:hAnsi="Times New Roman"/>
          <w:color w:val="0E101A"/>
        </w:rPr>
        <w:t> </w:t>
      </w:r>
    </w:p>
    <w:p w14:paraId="42C051A4" w14:textId="77777777" w:rsidR="002F1423" w:rsidRDefault="002F1423">
      <w:pPr>
        <w:pStyle w:val="Default"/>
        <w:spacing w:before="0" w:line="480" w:lineRule="auto"/>
        <w:rPr>
          <w:rFonts w:ascii="Times New Roman" w:eastAsia="Times New Roman" w:hAnsi="Times New Roman" w:cs="Times New Roman"/>
          <w:color w:val="0E101A"/>
        </w:rPr>
      </w:pPr>
    </w:p>
    <w:p w14:paraId="6708DF3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lastRenderedPageBreak/>
        <w:t>Failure to enter pyruvate into the mitochondrial matrix compartment from the cytosol has very important consequences for metabolism.</w:t>
      </w:r>
      <w:r>
        <w:rPr>
          <w:rFonts w:ascii="Times New Roman" w:hAnsi="Times New Roman"/>
          <w:color w:val="0E101A"/>
        </w:rPr>
        <w:t> </w:t>
      </w:r>
      <w:r>
        <w:rPr>
          <w:rFonts w:ascii="Times New Roman" w:hAnsi="Times New Roman"/>
          <w:color w:val="0E101A"/>
        </w:rPr>
        <w:t>However, survival adapta</w:t>
      </w:r>
      <w:r>
        <w:rPr>
          <w:rFonts w:ascii="Times New Roman" w:hAnsi="Times New Roman"/>
          <w:color w:val="0E101A"/>
        </w:rPr>
        <w:t>tions using MHM are maintained at a cost, as organisms with MHM are alive but might not be vigorous in two main cellular energy processes:</w:t>
      </w:r>
      <w:r>
        <w:rPr>
          <w:rFonts w:ascii="Times New Roman" w:hAnsi="Times New Roman"/>
          <w:color w:val="0E101A"/>
        </w:rPr>
        <w:t xml:space="preserve"> </w:t>
      </w:r>
    </w:p>
    <w:p w14:paraId="5A680444" w14:textId="77777777" w:rsidR="002F1423" w:rsidRDefault="00927F0D">
      <w:pPr>
        <w:pStyle w:val="Default"/>
        <w:numPr>
          <w:ilvl w:val="0"/>
          <w:numId w:val="2"/>
        </w:numPr>
        <w:spacing w:before="0" w:line="480" w:lineRule="auto"/>
        <w:rPr>
          <w:rFonts w:ascii="Times New Roman" w:hAnsi="Times New Roman"/>
        </w:rPr>
      </w:pPr>
      <w:r>
        <w:rPr>
          <w:rFonts w:ascii="Times New Roman" w:hAnsi="Times New Roman"/>
        </w:rPr>
        <w:t>proliferation and</w:t>
      </w:r>
    </w:p>
    <w:p w14:paraId="637882E3" w14:textId="77777777" w:rsidR="002F1423" w:rsidRDefault="00927F0D">
      <w:pPr>
        <w:pStyle w:val="Default"/>
        <w:numPr>
          <w:ilvl w:val="0"/>
          <w:numId w:val="2"/>
        </w:numPr>
        <w:spacing w:before="0" w:line="480" w:lineRule="auto"/>
        <w:rPr>
          <w:rFonts w:ascii="Times New Roman" w:hAnsi="Times New Roman"/>
          <w:lang w:val="it-IT"/>
        </w:rPr>
      </w:pPr>
      <w:r>
        <w:rPr>
          <w:rFonts w:ascii="Times New Roman" w:hAnsi="Times New Roman"/>
          <w:lang w:val="it-IT"/>
        </w:rPr>
        <w:t>conservation.</w:t>
      </w:r>
    </w:p>
    <w:p w14:paraId="214224AB" w14:textId="77777777" w:rsidR="002F1423" w:rsidRDefault="002F1423">
      <w:pPr>
        <w:pStyle w:val="Default"/>
        <w:spacing w:before="0" w:line="480" w:lineRule="auto"/>
        <w:rPr>
          <w:rFonts w:ascii="Times New Roman" w:eastAsia="Times New Roman" w:hAnsi="Times New Roman" w:cs="Times New Roman"/>
        </w:rPr>
      </w:pPr>
    </w:p>
    <w:p w14:paraId="018584A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literature is relatively silent on survival with MHM. Indeed, with </w:t>
      </w:r>
      <w:r>
        <w:rPr>
          <w:rFonts w:ascii="Times New Roman" w:hAnsi="Times New Roman"/>
          <w:color w:val="0E101A"/>
        </w:rPr>
        <w:t xml:space="preserve">mitochondrial gene suppression, as shown by measurable abnormalities in the amount of mRNA produced by nuclear-encoded mitochondrial genes, little is published on energy production in patients with CIRS or SEID. They have a deficiency of translocases. For </w:t>
      </w:r>
      <w:r>
        <w:rPr>
          <w:rFonts w:ascii="Times New Roman" w:hAnsi="Times New Roman"/>
          <w:color w:val="0E101A"/>
        </w:rPr>
        <w:t>perspective, while [metabolism, mitochondria] yields 167,000 papers, nuclear-encoded mitochondrial genes are only referenced by 1471 papers under [metabolism, nuclear-encoded mitochondrial genes] and only 4 for [metabolism, fatigue, and voltage-dependent a</w:t>
      </w:r>
      <w:r>
        <w:rPr>
          <w:rFonts w:ascii="Times New Roman" w:hAnsi="Times New Roman"/>
          <w:color w:val="0E101A"/>
        </w:rPr>
        <w:t>nion channels]. Given that the estimates of the prevalence of chronic fatiguing illnesses in the US alone exceed 50,000,000 cases, with that number increasing yearly,</w:t>
      </w:r>
      <w:r>
        <w:rPr>
          <w:rFonts w:ascii="Times New Roman" w:hAnsi="Times New Roman"/>
          <w:b/>
          <w:bCs/>
          <w:color w:val="0E101A"/>
        </w:rPr>
        <w:t> </w:t>
      </w:r>
      <w:r>
        <w:rPr>
          <w:rFonts w:ascii="Times New Roman" w:hAnsi="Times New Roman"/>
          <w:color w:val="0E101A"/>
        </w:rPr>
        <w:t>it was disturbing to find the dearth of papers on [metabolism, CIRS] (=1334) and [metabol</w:t>
      </w:r>
      <w:r>
        <w:rPr>
          <w:rFonts w:ascii="Times New Roman" w:hAnsi="Times New Roman"/>
          <w:color w:val="0E101A"/>
        </w:rPr>
        <w:t>ism, ribotoxins], the source of SRL injury (=72). Fortunately, a diagnostic and treatment protocol that identifies and corrects the transcriptomic abnormalities of MHM has been in wide use</w:t>
      </w:r>
      <w:r>
        <w:rPr>
          <w:rFonts w:ascii="Times New Roman" w:hAnsi="Times New Roman"/>
          <w:color w:val="0E101A"/>
          <w:vertAlign w:val="superscript"/>
        </w:rPr>
        <w:t>2, 4</w:t>
      </w:r>
      <w:r>
        <w:rPr>
          <w:rFonts w:ascii="Times New Roman" w:hAnsi="Times New Roman"/>
          <w:color w:val="0E101A"/>
        </w:rPr>
        <w:t xml:space="preserve"> since 2010, with correction of MHM noted in over 90% of cases.</w:t>
      </w:r>
      <w:r>
        <w:rPr>
          <w:rFonts w:ascii="Times New Roman" w:hAnsi="Times New Roman"/>
          <w:b/>
          <w:bCs/>
          <w:color w:val="0E101A"/>
        </w:rPr>
        <w:t> </w:t>
      </w:r>
    </w:p>
    <w:p w14:paraId="7A3F7812" w14:textId="77777777" w:rsidR="002F1423" w:rsidRDefault="002F1423">
      <w:pPr>
        <w:pStyle w:val="Default"/>
        <w:spacing w:before="0" w:line="480" w:lineRule="auto"/>
        <w:rPr>
          <w:rFonts w:ascii="Times New Roman" w:eastAsia="Times New Roman" w:hAnsi="Times New Roman" w:cs="Times New Roman"/>
          <w:color w:val="0E101A"/>
        </w:rPr>
      </w:pPr>
    </w:p>
    <w:p w14:paraId="6FEE5694"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This paper will review the impact of MHM on metabolism as those pathways interact with inflammation seen in CIRS, with particular attention to aerobic glycolysis and VDAC effects on </w:t>
      </w:r>
      <w:r>
        <w:rPr>
          <w:rFonts w:ascii="Times New Roman" w:hAnsi="Times New Roman"/>
          <w:color w:val="0E101A"/>
        </w:rPr>
        <w:lastRenderedPageBreak/>
        <w:t>metabolic acidosis, grey matter nuclear atrophy, and pulmonary hypertens</w:t>
      </w:r>
      <w:r>
        <w:rPr>
          <w:rFonts w:ascii="Times New Roman" w:hAnsi="Times New Roman"/>
          <w:color w:val="0E101A"/>
        </w:rPr>
        <w:t>ion in CIRS. We follow that thread with study data on 112 patients with CIRS.</w:t>
      </w:r>
    </w:p>
    <w:p w14:paraId="257C63E1" w14:textId="77777777" w:rsidR="002F1423" w:rsidRDefault="002F1423">
      <w:pPr>
        <w:pStyle w:val="Default"/>
        <w:spacing w:before="0" w:line="480" w:lineRule="auto"/>
        <w:rPr>
          <w:rFonts w:ascii="Times New Roman" w:eastAsia="Times New Roman" w:hAnsi="Times New Roman" w:cs="Times New Roman"/>
          <w:color w:val="0E101A"/>
        </w:rPr>
      </w:pPr>
    </w:p>
    <w:p w14:paraId="301068C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2. Severe Exercise Intolerance Disease</w:t>
      </w:r>
      <w:r>
        <w:rPr>
          <w:rFonts w:ascii="Times New Roman" w:hAnsi="Times New Roman"/>
          <w:color w:val="0E101A"/>
        </w:rPr>
        <w:t> </w:t>
      </w:r>
      <w:r>
        <w:rPr>
          <w:rFonts w:ascii="Times New Roman" w:hAnsi="Times New Roman"/>
          <w:color w:val="0E101A"/>
        </w:rPr>
        <w:t>(</w:t>
      </w:r>
      <w:r>
        <w:rPr>
          <w:rFonts w:ascii="Times New Roman" w:hAnsi="Times New Roman"/>
          <w:b/>
          <w:bCs/>
          <w:color w:val="0E101A"/>
        </w:rPr>
        <w:t>SEID), Chronic Inflammatory Response Syndrome (CIRS), and Metabolism</w:t>
      </w:r>
    </w:p>
    <w:p w14:paraId="00919E47" w14:textId="77777777" w:rsidR="002F1423" w:rsidRDefault="002F1423">
      <w:pPr>
        <w:pStyle w:val="Default"/>
        <w:spacing w:before="0" w:line="480" w:lineRule="auto"/>
        <w:rPr>
          <w:rFonts w:ascii="Times New Roman" w:eastAsia="Times New Roman" w:hAnsi="Times New Roman" w:cs="Times New Roman"/>
          <w:color w:val="0E101A"/>
        </w:rPr>
      </w:pPr>
    </w:p>
    <w:p w14:paraId="6D71AB6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recent addition of transcriptomic testing as an </w:t>
      </w:r>
      <w:r>
        <w:rPr>
          <w:rFonts w:ascii="Times New Roman" w:hAnsi="Times New Roman"/>
          <w:color w:val="0E101A"/>
        </w:rPr>
        <w:t>approach to patients with chronic fatiguing illnesses, defined as multisystem, multi-symptom illnesses, including Severe Exercise Intolerance Disease (SEID), fibromyalgia, Post Lyme disease, and chronic inflammatory response syndrome (CIRS), is demonstrate</w:t>
      </w:r>
      <w:r>
        <w:rPr>
          <w:rFonts w:ascii="Times New Roman" w:hAnsi="Times New Roman"/>
          <w:color w:val="0E101A"/>
        </w:rPr>
        <w:t>d by the following:</w:t>
      </w:r>
      <w:r>
        <w:rPr>
          <w:rFonts w:ascii="Times New Roman" w:hAnsi="Times New Roman"/>
          <w:color w:val="0E101A"/>
        </w:rPr>
        <w:t> </w:t>
      </w:r>
    </w:p>
    <w:p w14:paraId="3CCAB085" w14:textId="77777777" w:rsidR="002F1423" w:rsidRDefault="00927F0D">
      <w:pPr>
        <w:pStyle w:val="Default"/>
        <w:numPr>
          <w:ilvl w:val="0"/>
          <w:numId w:val="3"/>
        </w:numPr>
        <w:spacing w:before="0" w:line="480" w:lineRule="auto"/>
        <w:rPr>
          <w:rFonts w:ascii="Times New Roman" w:hAnsi="Times New Roman"/>
          <w:color w:val="0E101A"/>
        </w:rPr>
      </w:pPr>
      <w:r>
        <w:rPr>
          <w:rFonts w:ascii="Times New Roman" w:hAnsi="Times New Roman"/>
          <w:color w:val="0E101A"/>
        </w:rPr>
        <w:t>a commonality of the complexity and near universality of responses of genes of inflammation and coagulation, but also</w:t>
      </w:r>
      <w:r>
        <w:rPr>
          <w:rFonts w:ascii="Times New Roman" w:hAnsi="Times New Roman"/>
          <w:color w:val="0E101A"/>
        </w:rPr>
        <w:t> </w:t>
      </w:r>
    </w:p>
    <w:p w14:paraId="46E2B29C"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 </w:t>
      </w:r>
      <w:r>
        <w:rPr>
          <w:rFonts w:ascii="Times New Roman" w:hAnsi="Times New Roman"/>
          <w:color w:val="0E101A"/>
        </w:rPr>
        <w:t xml:space="preserve">the relationship of suppression of production of ribosomal mRNA and nuclear-encoded mitochondrial genes to </w:t>
      </w:r>
      <w:r>
        <w:rPr>
          <w:rFonts w:ascii="Times New Roman" w:hAnsi="Times New Roman"/>
          <w:color w:val="0E101A"/>
        </w:rPr>
        <w:t>multiple facets of glucose metabolism, especially aerobic glycolysis,</w:t>
      </w:r>
      <w:r>
        <w:rPr>
          <w:rFonts w:ascii="Times New Roman" w:hAnsi="Times New Roman"/>
          <w:color w:val="0E101A"/>
          <w:vertAlign w:val="superscript"/>
        </w:rPr>
        <w:t>14, 15</w:t>
      </w:r>
      <w:r>
        <w:rPr>
          <w:rFonts w:ascii="Times New Roman" w:hAnsi="Times New Roman"/>
          <w:color w:val="0E101A"/>
        </w:rPr>
        <w:t xml:space="preserve"> resulting in neuronal injury, including cognitive impairment,</w:t>
      </w:r>
      <w:r>
        <w:rPr>
          <w:rFonts w:ascii="Times New Roman" w:hAnsi="Times New Roman"/>
          <w:color w:val="0E101A"/>
          <w:vertAlign w:val="superscript"/>
        </w:rPr>
        <w:t xml:space="preserve">16, 17, 18, 19, 20 </w:t>
      </w:r>
      <w:r>
        <w:rPr>
          <w:rFonts w:ascii="Times New Roman" w:hAnsi="Times New Roman"/>
          <w:color w:val="0E101A"/>
        </w:rPr>
        <w:t>and pulmonary hypertension.</w:t>
      </w:r>
    </w:p>
    <w:p w14:paraId="01EAF1C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These findings in chronic illnesses parallel the findings of acute sepsi</w:t>
      </w:r>
      <w:r>
        <w:rPr>
          <w:rFonts w:ascii="Times New Roman" w:hAnsi="Times New Roman"/>
          <w:color w:val="0E101A"/>
        </w:rPr>
        <w:t>s (systemic inflammatory response syndrome, SIRS), with excessive inflammation, coagulation, and immunosuppression persisting beyond the treatment of infection.</w:t>
      </w:r>
      <w:r>
        <w:rPr>
          <w:rFonts w:ascii="Times New Roman" w:hAnsi="Times New Roman"/>
          <w:color w:val="0E101A"/>
          <w:vertAlign w:val="superscript"/>
        </w:rPr>
        <w:t>21</w:t>
      </w:r>
      <w:r>
        <w:rPr>
          <w:rFonts w:ascii="Times New Roman" w:hAnsi="Times New Roman"/>
          <w:color w:val="0E101A"/>
        </w:rPr>
        <w:t> </w:t>
      </w:r>
    </w:p>
    <w:p w14:paraId="2D4A105F" w14:textId="77777777" w:rsidR="002F1423" w:rsidRDefault="002F1423">
      <w:pPr>
        <w:pStyle w:val="Default"/>
        <w:spacing w:before="0" w:line="480" w:lineRule="auto"/>
        <w:rPr>
          <w:rFonts w:ascii="Times New Roman" w:eastAsia="Times New Roman" w:hAnsi="Times New Roman" w:cs="Times New Roman"/>
          <w:color w:val="0E101A"/>
        </w:rPr>
      </w:pPr>
    </w:p>
    <w:p w14:paraId="0D62E56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Each of these elements is consistent with the classic observations of Lewis Thomas that the</w:t>
      </w:r>
      <w:r>
        <w:rPr>
          <w:rFonts w:ascii="Times New Roman" w:hAnsi="Times New Roman"/>
          <w:color w:val="0E101A"/>
        </w:rPr>
        <w:t xml:space="preserve"> host immune response, once initiated, can become the disease.</w:t>
      </w:r>
      <w:r>
        <w:rPr>
          <w:rFonts w:ascii="Times New Roman" w:hAnsi="Times New Roman"/>
          <w:b/>
          <w:bCs/>
          <w:color w:val="0E101A"/>
        </w:rPr>
        <w:t> </w:t>
      </w:r>
      <w:r>
        <w:rPr>
          <w:rFonts w:ascii="Times New Roman" w:hAnsi="Times New Roman"/>
          <w:color w:val="0E101A"/>
        </w:rPr>
        <w:t>When combined with disturbances in glycolysis and pyruvate uptake into mitochondria through VDAC, it is clear that ongoing maladaptive responses to immune and metabolic initiators underlie mult</w:t>
      </w:r>
      <w:r>
        <w:rPr>
          <w:rFonts w:ascii="Times New Roman" w:hAnsi="Times New Roman"/>
          <w:color w:val="0E101A"/>
        </w:rPr>
        <w:t>iple sources of SEID (excluding CIRS). The absence of objective diagnostic parameters, without which there are no guides to physiology-based therapies, typifies SEID. Transcriptomics helps with a better understanding of the role of VDAC.</w:t>
      </w:r>
    </w:p>
    <w:p w14:paraId="2606950E" w14:textId="77777777" w:rsidR="002F1423" w:rsidRDefault="002F1423">
      <w:pPr>
        <w:pStyle w:val="Default"/>
        <w:spacing w:before="0" w:line="480" w:lineRule="auto"/>
        <w:rPr>
          <w:rFonts w:ascii="Times New Roman" w:eastAsia="Times New Roman" w:hAnsi="Times New Roman" w:cs="Times New Roman"/>
          <w:color w:val="0E101A"/>
        </w:rPr>
      </w:pPr>
    </w:p>
    <w:p w14:paraId="6590F34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 chronic illness</w:t>
      </w:r>
      <w:r>
        <w:rPr>
          <w:rFonts w:ascii="Times New Roman" w:hAnsi="Times New Roman"/>
          <w:color w:val="0E101A"/>
        </w:rPr>
        <w:t xml:space="preserve"> called persistent inflammation and catabolism syndrome </w:t>
      </w:r>
      <w:r>
        <w:rPr>
          <w:rFonts w:ascii="Times New Roman" w:hAnsi="Times New Roman"/>
        </w:rPr>
        <w:t>(PICS</w:t>
      </w:r>
      <w:r>
        <w:rPr>
          <w:rFonts w:ascii="Times New Roman" w:hAnsi="Times New Roman"/>
        </w:rPr>
        <w:t>)</w:t>
      </w:r>
      <w:r>
        <w:rPr>
          <w:rFonts w:ascii="Times New Roman" w:hAnsi="Times New Roman"/>
          <w:vertAlign w:val="superscript"/>
        </w:rPr>
        <w:t>21</w:t>
      </w:r>
      <w:r>
        <w:rPr>
          <w:rFonts w:ascii="Times New Roman" w:hAnsi="Times New Roman"/>
          <w:color w:val="0E101A"/>
        </w:rPr>
        <w:t xml:space="preserve"> often develops in patients who survive sepsis. While we have chosen the term CIRS to describe </w:t>
      </w:r>
      <w:r>
        <w:rPr>
          <w:rFonts w:ascii="Times New Roman" w:hAnsi="Times New Roman"/>
          <w:color w:val="0E101A"/>
        </w:rPr>
        <w:t>“</w:t>
      </w:r>
      <w:r>
        <w:rPr>
          <w:rFonts w:ascii="Times New Roman" w:hAnsi="Times New Roman"/>
          <w:color w:val="0E101A"/>
        </w:rPr>
        <w:t>chronic PICS</w:t>
      </w:r>
      <w:r>
        <w:rPr>
          <w:rFonts w:ascii="Times New Roman" w:hAnsi="Times New Roman"/>
          <w:color w:val="0E101A"/>
        </w:rPr>
        <w:t>”</w:t>
      </w:r>
      <w:r>
        <w:rPr>
          <w:rFonts w:ascii="Times New Roman" w:hAnsi="Times New Roman"/>
          <w:color w:val="0E101A"/>
        </w:rPr>
        <w:t xml:space="preserve"> and other</w:t>
      </w:r>
      <w:r>
        <w:rPr>
          <w:rFonts w:ascii="Times New Roman" w:hAnsi="Times New Roman"/>
          <w:b/>
          <w:bCs/>
          <w:color w:val="0E101A"/>
        </w:rPr>
        <w:t> </w:t>
      </w:r>
      <w:r>
        <w:rPr>
          <w:rFonts w:ascii="Times New Roman" w:hAnsi="Times New Roman"/>
          <w:color w:val="0E101A"/>
        </w:rPr>
        <w:t>associated</w:t>
      </w:r>
      <w:r>
        <w:rPr>
          <w:rFonts w:ascii="Times New Roman" w:hAnsi="Times New Roman"/>
          <w:b/>
          <w:bCs/>
          <w:color w:val="0E101A"/>
        </w:rPr>
        <w:t> </w:t>
      </w:r>
      <w:r>
        <w:rPr>
          <w:rFonts w:ascii="Times New Roman" w:hAnsi="Times New Roman"/>
          <w:color w:val="0E101A"/>
        </w:rPr>
        <w:t xml:space="preserve">illnesses related to chronic inflammation, the illness </w:t>
      </w:r>
      <w:r>
        <w:rPr>
          <w:rFonts w:ascii="Times New Roman" w:hAnsi="Times New Roman"/>
          <w:color w:val="0E101A"/>
        </w:rPr>
        <w:t>concepts are the same. The difference is that CIRS literature has data on many recognized biomarkers and a published treatment protocol,</w:t>
      </w:r>
      <w:r>
        <w:rPr>
          <w:rFonts w:ascii="Times New Roman" w:hAnsi="Times New Roman"/>
          <w:color w:val="0E101A"/>
          <w:vertAlign w:val="superscript"/>
        </w:rPr>
        <w:t>7</w:t>
      </w:r>
      <w:r>
        <w:rPr>
          <w:rFonts w:ascii="Times New Roman" w:hAnsi="Times New Roman"/>
          <w:color w:val="0E101A"/>
        </w:rPr>
        <w:t xml:space="preserve"> but PICS does not.</w:t>
      </w:r>
    </w:p>
    <w:p w14:paraId="04D0F529" w14:textId="77777777" w:rsidR="002F1423" w:rsidRDefault="002F1423">
      <w:pPr>
        <w:pStyle w:val="Default"/>
        <w:spacing w:before="0" w:line="480" w:lineRule="auto"/>
        <w:rPr>
          <w:rFonts w:ascii="Times New Roman" w:eastAsia="Times New Roman" w:hAnsi="Times New Roman" w:cs="Times New Roman"/>
          <w:color w:val="0E101A"/>
        </w:rPr>
      </w:pPr>
    </w:p>
    <w:p w14:paraId="5F59D2A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These biomarkers include symptom clusters for CIRS acquired following environmental </w:t>
      </w:r>
      <w:r>
        <w:rPr>
          <w:rFonts w:ascii="Times New Roman" w:hAnsi="Times New Roman"/>
          <w:color w:val="0E101A"/>
        </w:rPr>
        <w:t>exposures to biotoxins and inflammagens in water-damaged buildings (WDB), finding at least 8 of 13 clusters present. Proteomic biomarkers compared to controls</w:t>
      </w:r>
      <w:r>
        <w:rPr>
          <w:rFonts w:ascii="Times New Roman" w:hAnsi="Times New Roman"/>
          <w:color w:val="0E101A"/>
          <w:vertAlign w:val="superscript"/>
        </w:rPr>
        <w:t>4</w:t>
      </w:r>
      <w:r>
        <w:rPr>
          <w:rFonts w:ascii="Times New Roman" w:hAnsi="Times New Roman"/>
          <w:color w:val="0E101A"/>
        </w:rPr>
        <w:t xml:space="preserve"> include:</w:t>
      </w:r>
    </w:p>
    <w:p w14:paraId="13F22ED3" w14:textId="77777777" w:rsidR="002F1423" w:rsidRDefault="00927F0D">
      <w:pPr>
        <w:pStyle w:val="Default"/>
        <w:numPr>
          <w:ilvl w:val="0"/>
          <w:numId w:val="4"/>
        </w:numPr>
        <w:spacing w:before="0" w:line="480" w:lineRule="auto"/>
        <w:rPr>
          <w:rFonts w:ascii="Times New Roman" w:hAnsi="Times New Roman"/>
          <w:color w:val="0E101A"/>
        </w:rPr>
      </w:pPr>
      <w:r>
        <w:rPr>
          <w:rFonts w:ascii="Times New Roman" w:hAnsi="Times New Roman"/>
          <w:color w:val="0E101A"/>
        </w:rPr>
        <w:t>the increased relative risk for specific HLA haplotypes</w:t>
      </w:r>
      <w:r>
        <w:rPr>
          <w:rFonts w:ascii="Times New Roman" w:hAnsi="Times New Roman"/>
          <w:color w:val="0E101A"/>
        </w:rPr>
        <w:t> </w:t>
      </w:r>
    </w:p>
    <w:p w14:paraId="4CFB214E"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presence of a distinctive defi</w:t>
      </w:r>
      <w:r>
        <w:rPr>
          <w:rFonts w:ascii="Times New Roman" w:hAnsi="Times New Roman"/>
          <w:color w:val="0E101A"/>
        </w:rPr>
        <w:t>cit seen in visual contrast sensitivity (VCS)</w:t>
      </w:r>
    </w:p>
    <w:p w14:paraId="59398035"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reduction of mean levels of melanocyte-stimulating hormone (MSH)</w:t>
      </w:r>
      <w:r>
        <w:rPr>
          <w:rFonts w:ascii="Times New Roman" w:hAnsi="Times New Roman"/>
          <w:color w:val="0E101A"/>
        </w:rPr>
        <w:t> </w:t>
      </w:r>
    </w:p>
    <w:p w14:paraId="0DF8470D"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dysregulation of ACTH to cortisol and</w:t>
      </w:r>
      <w:r>
        <w:rPr>
          <w:rFonts w:ascii="Times New Roman" w:hAnsi="Times New Roman"/>
          <w:color w:val="0E101A"/>
        </w:rPr>
        <w:t> </w:t>
      </w:r>
    </w:p>
    <w:p w14:paraId="08CA7061"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ADH to osmolality</w:t>
      </w:r>
    </w:p>
    <w:p w14:paraId="5945E49F"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elevated C4a</w:t>
      </w:r>
    </w:p>
    <w:p w14:paraId="6960881E" w14:textId="77777777" w:rsidR="002F1423" w:rsidRDefault="00927F0D">
      <w:pPr>
        <w:pStyle w:val="Default"/>
        <w:numPr>
          <w:ilvl w:val="0"/>
          <w:numId w:val="2"/>
        </w:numPr>
        <w:spacing w:before="0" w:line="480" w:lineRule="auto"/>
        <w:rPr>
          <w:rFonts w:ascii="Times New Roman" w:hAnsi="Times New Roman"/>
        </w:rPr>
      </w:pPr>
      <w:r>
        <w:rPr>
          <w:rFonts w:ascii="Times New Roman" w:hAnsi="Times New Roman"/>
        </w:rPr>
        <w:t xml:space="preserve">transforming growth factor </w:t>
      </w:r>
      <w:r>
        <w:rPr>
          <w:rFonts w:ascii="Times New Roman" w:hAnsi="Times New Roman"/>
        </w:rPr>
        <w:t>β</w:t>
      </w:r>
      <w:r>
        <w:rPr>
          <w:rFonts w:ascii="Times New Roman" w:hAnsi="Times New Roman"/>
          <w:lang w:val="pt-PT"/>
        </w:rPr>
        <w:t>-1 (TGF</w:t>
      </w:r>
      <w:r>
        <w:rPr>
          <w:rFonts w:ascii="Times New Roman" w:hAnsi="Times New Roman"/>
        </w:rPr>
        <w:t>β</w:t>
      </w:r>
      <w:r>
        <w:rPr>
          <w:rFonts w:ascii="Times New Roman" w:hAnsi="Times New Roman"/>
        </w:rPr>
        <w:t>-1)</w:t>
      </w:r>
    </w:p>
    <w:p w14:paraId="3752D75E" w14:textId="77777777" w:rsidR="002F1423" w:rsidRDefault="00927F0D">
      <w:pPr>
        <w:pStyle w:val="Default"/>
        <w:numPr>
          <w:ilvl w:val="0"/>
          <w:numId w:val="2"/>
        </w:numPr>
        <w:spacing w:before="0" w:line="480" w:lineRule="auto"/>
        <w:rPr>
          <w:rFonts w:ascii="Times New Roman" w:hAnsi="Times New Roman"/>
          <w:lang w:val="es-ES_tradnl"/>
        </w:rPr>
      </w:pPr>
      <w:r>
        <w:rPr>
          <w:rFonts w:ascii="Times New Roman" w:hAnsi="Times New Roman"/>
          <w:lang w:val="es-ES_tradnl"/>
        </w:rPr>
        <w:t xml:space="preserve">matrix metallopeptidase 9 </w:t>
      </w:r>
      <w:r>
        <w:rPr>
          <w:rFonts w:ascii="Times New Roman" w:hAnsi="Times New Roman"/>
        </w:rPr>
        <w:t>(MMP-9)</w:t>
      </w:r>
    </w:p>
    <w:p w14:paraId="001CFD48"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suppression of vascular endothelial growth factor (VEGF)</w:t>
      </w:r>
    </w:p>
    <w:p w14:paraId="732D553F"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increased incidence of antigliadin and</w:t>
      </w:r>
    </w:p>
    <w:p w14:paraId="2D2C4488"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anticardiolipin antibodies.</w:t>
      </w:r>
      <w:r>
        <w:rPr>
          <w:rFonts w:ascii="Times New Roman" w:hAnsi="Times New Roman"/>
          <w:color w:val="0E101A"/>
          <w:vertAlign w:val="superscript"/>
        </w:rPr>
        <w:t>7</w:t>
      </w:r>
    </w:p>
    <w:p w14:paraId="164DD3D3" w14:textId="77777777" w:rsidR="002F1423" w:rsidRDefault="002F1423">
      <w:pPr>
        <w:pStyle w:val="Default"/>
        <w:spacing w:before="0" w:line="480" w:lineRule="auto"/>
        <w:rPr>
          <w:rFonts w:ascii="Times New Roman" w:eastAsia="Times New Roman" w:hAnsi="Times New Roman" w:cs="Times New Roman"/>
          <w:color w:val="0E101A"/>
        </w:rPr>
      </w:pPr>
    </w:p>
    <w:p w14:paraId="42C404E4"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Functional CIRS-WDB biomarkers include:</w:t>
      </w:r>
    </w:p>
    <w:p w14:paraId="74FC845A" w14:textId="77777777" w:rsidR="002F1423" w:rsidRDefault="00927F0D">
      <w:pPr>
        <w:pStyle w:val="Default"/>
        <w:numPr>
          <w:ilvl w:val="0"/>
          <w:numId w:val="5"/>
        </w:numPr>
        <w:spacing w:before="0" w:line="480" w:lineRule="auto"/>
        <w:rPr>
          <w:rFonts w:ascii="Times New Roman" w:hAnsi="Times New Roman"/>
          <w:color w:val="0E101A"/>
          <w:lang w:val="fr-FR"/>
        </w:rPr>
      </w:pPr>
      <w:r>
        <w:rPr>
          <w:rFonts w:ascii="Times New Roman" w:hAnsi="Times New Roman"/>
          <w:color w:val="0E101A"/>
          <w:lang w:val="fr-FR"/>
        </w:rPr>
        <w:t xml:space="preserve">a distinctive </w:t>
      </w:r>
      <w:r>
        <w:rPr>
          <w:rFonts w:ascii="Times New Roman" w:hAnsi="Times New Roman"/>
          <w:color w:val="0E101A"/>
        </w:rPr>
        <w:t>“</w:t>
      </w:r>
      <w:r>
        <w:rPr>
          <w:rFonts w:ascii="Times New Roman" w:hAnsi="Times New Roman"/>
          <w:color w:val="0E101A"/>
        </w:rPr>
        <w:t>fingerprint</w:t>
      </w:r>
      <w:r>
        <w:rPr>
          <w:rFonts w:ascii="Times New Roman" w:hAnsi="Times New Roman"/>
          <w:color w:val="0E101A"/>
        </w:rPr>
        <w:t>”</w:t>
      </w:r>
      <w:r>
        <w:rPr>
          <w:rFonts w:ascii="Times New Roman" w:hAnsi="Times New Roman"/>
          <w:color w:val="0E101A"/>
        </w:rPr>
        <w:t xml:space="preserve"> of volumetric abnormalities</w:t>
      </w:r>
      <w:r>
        <w:rPr>
          <w:rFonts w:ascii="Times New Roman" w:hAnsi="Times New Roman"/>
          <w:color w:val="0E101A"/>
          <w:vertAlign w:val="superscript"/>
        </w:rPr>
        <w:t>22, 23, 24</w:t>
      </w:r>
      <w:r>
        <w:rPr>
          <w:rFonts w:ascii="Times New Roman" w:hAnsi="Times New Roman"/>
          <w:color w:val="0E101A"/>
        </w:rPr>
        <w:t xml:space="preserve"> seen on NeuroQuant</w:t>
      </w:r>
      <w:r>
        <w:rPr>
          <w:rFonts w:ascii="Times New Roman" w:hAnsi="Times New Roman"/>
          <w:color w:val="0E101A"/>
        </w:rPr>
        <w:t>®</w:t>
      </w:r>
    </w:p>
    <w:p w14:paraId="166E759F"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reduction of VO2 max, and</w:t>
      </w:r>
    </w:p>
    <w:p w14:paraId="26A3113B"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anaerobic threshold shown by pulmonary stress testing</w:t>
      </w:r>
    </w:p>
    <w:p w14:paraId="58D8CE50"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elevated pulmonary artery pressures at rest, or</w:t>
      </w:r>
    </w:p>
    <w:p w14:paraId="106FB0A7"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after exercise on echocardiogram and</w:t>
      </w:r>
    </w:p>
    <w:p w14:paraId="27D8A520"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transcriptomics.</w:t>
      </w:r>
    </w:p>
    <w:p w14:paraId="3D4387C7" w14:textId="77777777" w:rsidR="002F1423" w:rsidRDefault="002F1423">
      <w:pPr>
        <w:pStyle w:val="Default"/>
        <w:spacing w:before="0" w:line="480" w:lineRule="auto"/>
        <w:rPr>
          <w:rFonts w:ascii="Times New Roman" w:eastAsia="Times New Roman" w:hAnsi="Times New Roman" w:cs="Times New Roman"/>
          <w:color w:val="0E101A"/>
        </w:rPr>
      </w:pPr>
    </w:p>
    <w:p w14:paraId="62BCBE4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lang w:val="pt-PT"/>
        </w:rPr>
        <w:t xml:space="preserve">3. </w:t>
      </w:r>
      <w:r>
        <w:rPr>
          <w:rFonts w:ascii="Times New Roman" w:hAnsi="Times New Roman"/>
          <w:b/>
          <w:bCs/>
          <w:color w:val="0E101A"/>
          <w:lang w:val="pt-PT"/>
        </w:rPr>
        <w:t>Molecular Hypometabolism</w:t>
      </w:r>
    </w:p>
    <w:p w14:paraId="7DDB78BC" w14:textId="77777777" w:rsidR="002F1423" w:rsidRDefault="002F1423">
      <w:pPr>
        <w:pStyle w:val="Default"/>
        <w:spacing w:before="0" w:line="480" w:lineRule="auto"/>
        <w:rPr>
          <w:rFonts w:ascii="Times New Roman" w:eastAsia="Times New Roman" w:hAnsi="Times New Roman" w:cs="Times New Roman"/>
          <w:color w:val="0E101A"/>
        </w:rPr>
      </w:pPr>
    </w:p>
    <w:p w14:paraId="67B3BC2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advances in understanding the physiology associated with MHM are brought to light by transcriptomics. These advances highlight the application of differential gene activation, stratified by age, comparing cases to controls for</w:t>
      </w:r>
      <w:r>
        <w:rPr>
          <w:rFonts w:ascii="Times New Roman" w:hAnsi="Times New Roman"/>
          <w:color w:val="0E101A"/>
        </w:rPr>
        <w:t xml:space="preserve"> ribosomal mRNA genes for the small ribosomal</w:t>
      </w:r>
      <w:r>
        <w:rPr>
          <w:rFonts w:ascii="Times New Roman" w:hAnsi="Times New Roman"/>
          <w:b/>
          <w:bCs/>
          <w:color w:val="0E101A"/>
        </w:rPr>
        <w:t> </w:t>
      </w:r>
      <w:r>
        <w:rPr>
          <w:rFonts w:ascii="Times New Roman" w:hAnsi="Times New Roman"/>
          <w:color w:val="0E101A"/>
        </w:rPr>
        <w:t xml:space="preserve">subunit and differentiating those mRNA findings from the large ribosomal subunit. Further, transcriptomics allows us to understand mRNA findings on large and small subunits of mitoribosomes. These findings are </w:t>
      </w:r>
      <w:r>
        <w:rPr>
          <w:rFonts w:ascii="Times New Roman" w:hAnsi="Times New Roman"/>
          <w:color w:val="0E101A"/>
        </w:rPr>
        <w:t>important when evaluating NeuroQuant</w:t>
      </w:r>
      <w:r>
        <w:rPr>
          <w:rFonts w:ascii="Times New Roman" w:hAnsi="Times New Roman"/>
          <w:color w:val="0E101A"/>
        </w:rPr>
        <w:t>®</w:t>
      </w:r>
      <w:r>
        <w:rPr>
          <w:rFonts w:ascii="Times New Roman" w:hAnsi="Times New Roman"/>
          <w:color w:val="0E101A"/>
        </w:rPr>
        <w:t>, looking at the role of commensal multiple antibiotic resistant coagulase negative staphylococci (MARCoNS), now found to make unidentified polycyclic ether toxins (unpublished). The role of mitochondrial gene suppressi</w:t>
      </w:r>
      <w:r>
        <w:rPr>
          <w:rFonts w:ascii="Times New Roman" w:hAnsi="Times New Roman"/>
          <w:color w:val="0E101A"/>
        </w:rPr>
        <w:t>on in association with MARCoNS is fertile ground for continued research.</w:t>
      </w:r>
      <w:r>
        <w:rPr>
          <w:rFonts w:ascii="Times New Roman" w:hAnsi="Times New Roman"/>
          <w:color w:val="0E101A"/>
        </w:rPr>
        <w:t> </w:t>
      </w:r>
    </w:p>
    <w:p w14:paraId="75472286" w14:textId="77777777" w:rsidR="002F1423" w:rsidRDefault="002F1423">
      <w:pPr>
        <w:pStyle w:val="Default"/>
        <w:spacing w:before="0" w:line="480" w:lineRule="auto"/>
        <w:rPr>
          <w:rFonts w:ascii="Times New Roman" w:eastAsia="Times New Roman" w:hAnsi="Times New Roman" w:cs="Times New Roman"/>
          <w:color w:val="0E101A"/>
        </w:rPr>
      </w:pPr>
    </w:p>
    <w:p w14:paraId="45046B83"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When taken as a whole, with a correction for the high and the low number of mRNA copies, combined with an adjustment for age, we have seen that transcriptomics will accurately ident</w:t>
      </w:r>
      <w:r>
        <w:rPr>
          <w:rFonts w:ascii="Times New Roman" w:hAnsi="Times New Roman"/>
          <w:color w:val="0E101A"/>
        </w:rPr>
        <w:t>ify molecular hypometabolism in patients with CIRS and SEID. For example, we also see these fundamental abnormalities in less commonly represented illnesses in our data set, including multiple sclerosis and cancer. Disorders of inflammation, metabolism, an</w:t>
      </w:r>
      <w:r>
        <w:rPr>
          <w:rFonts w:ascii="Times New Roman" w:hAnsi="Times New Roman"/>
          <w:color w:val="0E101A"/>
        </w:rPr>
        <w:t>d loss of regulation of differential gene activation, commonly seen in CIRS, SEID, and other chronic fatiguing illnesses, hold importance by defining pathological abnormalities in metabolism that may apply to other chronic illnesses.</w:t>
      </w:r>
    </w:p>
    <w:p w14:paraId="559D4BBE" w14:textId="77777777" w:rsidR="002F1423" w:rsidRDefault="002F1423">
      <w:pPr>
        <w:pStyle w:val="Default"/>
        <w:spacing w:before="0" w:line="480" w:lineRule="auto"/>
        <w:rPr>
          <w:rFonts w:ascii="Times New Roman" w:eastAsia="Times New Roman" w:hAnsi="Times New Roman" w:cs="Times New Roman"/>
          <w:color w:val="0E101A"/>
        </w:rPr>
      </w:pPr>
    </w:p>
    <w:p w14:paraId="0E6F98F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Changes in MHM with t</w:t>
      </w:r>
      <w:r>
        <w:rPr>
          <w:rFonts w:ascii="Times New Roman" w:hAnsi="Times New Roman"/>
          <w:color w:val="0E101A"/>
        </w:rPr>
        <w:t>herapy also provide a window on the treatment of CIRS, as the use of a peer-reviewed protocol</w:t>
      </w:r>
      <w:r>
        <w:rPr>
          <w:rFonts w:ascii="Times New Roman" w:hAnsi="Times New Roman"/>
          <w:color w:val="0E101A"/>
          <w:vertAlign w:val="superscript"/>
        </w:rPr>
        <w:t>4</w:t>
      </w:r>
      <w:r>
        <w:rPr>
          <w:rFonts w:ascii="Times New Roman" w:hAnsi="Times New Roman"/>
          <w:color w:val="0E101A"/>
        </w:rPr>
        <w:t xml:space="preserve"> shows the correction of suppression of ribosomal and nuclear-encoded mitochondrial genes, especially translocases. The completion of initial treatment is marked by an overshoot of the number of copies of targeted genes compared to controls, with a return </w:t>
      </w:r>
      <w:r>
        <w:rPr>
          <w:rFonts w:ascii="Times New Roman" w:hAnsi="Times New Roman"/>
          <w:color w:val="0E101A"/>
        </w:rPr>
        <w:t xml:space="preserve">to control levels using intranasal vasoactive intestinal polypeptide (VIP). The changes in individual mRNA counts seen in each MHM entity are parallel in shape when graphed, describing the </w:t>
      </w:r>
      <w:r>
        <w:rPr>
          <w:rFonts w:ascii="Times New Roman" w:hAnsi="Times New Roman"/>
          <w:color w:val="0E101A"/>
        </w:rPr>
        <w:t>“</w:t>
      </w:r>
      <w:r>
        <w:rPr>
          <w:rFonts w:ascii="Times New Roman" w:hAnsi="Times New Roman"/>
          <w:color w:val="0E101A"/>
          <w:lang w:val="pt-PT"/>
        </w:rPr>
        <w:t>CIRS curve</w:t>
      </w:r>
      <w:r>
        <w:rPr>
          <w:rFonts w:ascii="Times New Roman" w:hAnsi="Times New Roman"/>
          <w:color w:val="0E101A"/>
        </w:rPr>
        <w:t>.</w:t>
      </w:r>
      <w:r>
        <w:rPr>
          <w:rFonts w:ascii="Times New Roman" w:hAnsi="Times New Roman"/>
          <w:color w:val="0E101A"/>
        </w:rPr>
        <w:t>”</w:t>
      </w:r>
      <w:r>
        <w:rPr>
          <w:rFonts w:ascii="Times New Roman" w:hAnsi="Times New Roman"/>
          <w:color w:val="0E101A"/>
          <w:vertAlign w:val="superscript"/>
        </w:rPr>
        <w:t>25</w:t>
      </w:r>
    </w:p>
    <w:p w14:paraId="6A4CB0AB" w14:textId="77777777" w:rsidR="002F1423" w:rsidRDefault="002F1423">
      <w:pPr>
        <w:pStyle w:val="Default"/>
        <w:spacing w:before="0" w:line="480" w:lineRule="auto"/>
        <w:rPr>
          <w:rFonts w:ascii="Times New Roman" w:eastAsia="Times New Roman" w:hAnsi="Times New Roman" w:cs="Times New Roman"/>
          <w:color w:val="0E101A"/>
        </w:rPr>
      </w:pPr>
    </w:p>
    <w:p w14:paraId="1B22880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lang w:val="pt-PT"/>
        </w:rPr>
        <w:t>4. Metabolic Acidosis</w:t>
      </w:r>
      <w:r>
        <w:rPr>
          <w:rFonts w:ascii="Times New Roman" w:hAnsi="Times New Roman"/>
          <w:b/>
          <w:bCs/>
          <w:color w:val="0E101A"/>
        </w:rPr>
        <w:t> </w:t>
      </w:r>
    </w:p>
    <w:p w14:paraId="16C8802F" w14:textId="77777777" w:rsidR="002F1423" w:rsidRDefault="002F1423">
      <w:pPr>
        <w:pStyle w:val="Default"/>
        <w:spacing w:before="0" w:line="480" w:lineRule="auto"/>
        <w:rPr>
          <w:rFonts w:ascii="Times New Roman" w:eastAsia="Times New Roman" w:hAnsi="Times New Roman" w:cs="Times New Roman"/>
          <w:color w:val="0E101A"/>
        </w:rPr>
      </w:pPr>
    </w:p>
    <w:p w14:paraId="24EA3B2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 xml:space="preserve">4.1 Specifics of </w:t>
      </w:r>
      <w:r>
        <w:rPr>
          <w:rFonts w:ascii="Times New Roman" w:hAnsi="Times New Roman"/>
          <w:b/>
          <w:bCs/>
          <w:color w:val="0E101A"/>
        </w:rPr>
        <w:t>Glycolysis and Pyruvate</w:t>
      </w:r>
    </w:p>
    <w:p w14:paraId="48ED1EB7" w14:textId="77777777" w:rsidR="002F1423" w:rsidRDefault="002F1423">
      <w:pPr>
        <w:pStyle w:val="Default"/>
        <w:spacing w:before="0" w:line="480" w:lineRule="auto"/>
        <w:rPr>
          <w:rFonts w:ascii="Times New Roman" w:eastAsia="Times New Roman" w:hAnsi="Times New Roman" w:cs="Times New Roman"/>
          <w:color w:val="0E101A"/>
        </w:rPr>
      </w:pPr>
    </w:p>
    <w:p w14:paraId="4BC0258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Once glucose enters the cell, often by the facilitated transport from a family of solute carriers called GLUT-1 (SLC2A1) and GLUT-4 (SLC2A4), it enters into a cytosolic pathway called glycolysis (also called the Embden-Meyerhof pat</w:t>
      </w:r>
      <w:r>
        <w:rPr>
          <w:rFonts w:ascii="Times New Roman" w:hAnsi="Times New Roman"/>
          <w:color w:val="0E101A"/>
        </w:rPr>
        <w:t>hway). This series of enzymatic steps can generate needed precursors used for other metabolic pathways, small amounts of ATP, and pyruvate.</w:t>
      </w:r>
      <w:r>
        <w:rPr>
          <w:rFonts w:ascii="Times New Roman" w:hAnsi="Times New Roman"/>
          <w:color w:val="0E101A"/>
        </w:rPr>
        <w:t> </w:t>
      </w:r>
      <w:r>
        <w:rPr>
          <w:rFonts w:ascii="Times New Roman" w:hAnsi="Times New Roman"/>
          <w:color w:val="0E101A"/>
        </w:rPr>
        <w:t>Glycolysis</w:t>
      </w:r>
      <w:r>
        <w:rPr>
          <w:rFonts w:ascii="Times New Roman" w:hAnsi="Times New Roman"/>
          <w:color w:val="0E101A"/>
        </w:rPr>
        <w:t> </w:t>
      </w:r>
      <w:r>
        <w:rPr>
          <w:rFonts w:ascii="Times New Roman" w:hAnsi="Times New Roman"/>
          <w:color w:val="0E101A"/>
        </w:rPr>
        <w:t xml:space="preserve">is an evolutionarily conserved process used by all living organisms. As seen with the SRL, </w:t>
      </w:r>
      <w:r>
        <w:rPr>
          <w:rFonts w:ascii="Times New Roman" w:hAnsi="Times New Roman"/>
          <w:color w:val="0E101A"/>
        </w:rPr>
        <w:t>evolutionary conservation means all the possible mutations and nucleotide polymorphisms that occurred over three billion years yielded no replacement of the glycolysis genes or pathway.</w:t>
      </w:r>
    </w:p>
    <w:p w14:paraId="256B833B" w14:textId="77777777" w:rsidR="002F1423" w:rsidRDefault="002F1423">
      <w:pPr>
        <w:pStyle w:val="Default"/>
        <w:spacing w:before="0" w:line="480" w:lineRule="auto"/>
        <w:rPr>
          <w:rFonts w:ascii="Times New Roman" w:eastAsia="Times New Roman" w:hAnsi="Times New Roman" w:cs="Times New Roman"/>
          <w:color w:val="0E101A"/>
        </w:rPr>
      </w:pPr>
    </w:p>
    <w:p w14:paraId="28963F35"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Glycolysis is a ten-step pathway of intracytoplasmic conversion of a</w:t>
      </w:r>
      <w:r>
        <w:rPr>
          <w:rFonts w:ascii="Times New Roman" w:hAnsi="Times New Roman"/>
          <w:color w:val="FF2600"/>
        </w:rPr>
        <w:t xml:space="preserve"> </w:t>
      </w:r>
      <w:r>
        <w:rPr>
          <w:rFonts w:ascii="Times New Roman" w:hAnsi="Times New Roman"/>
          <w:lang w:val="it-IT"/>
        </w:rPr>
        <w:t>6-carbon ring, glucose,</w:t>
      </w:r>
      <w:r>
        <w:rPr>
          <w:rFonts w:ascii="Times New Roman" w:hAnsi="Times New Roman"/>
          <w:color w:val="0E101A"/>
        </w:rPr>
        <w:t xml:space="preserve"> to create two copies of a three-carbon fragment, pyruvate. </w:t>
      </w:r>
      <w:r>
        <w:rPr>
          <w:rFonts w:ascii="Times New Roman" w:hAnsi="Times New Roman"/>
        </w:rPr>
        <w:t>There are two phases in glycolysis</w:t>
      </w:r>
      <w:r>
        <w:rPr>
          <w:rFonts w:ascii="Times New Roman" w:hAnsi="Times New Roman"/>
          <w:color w:val="0E101A"/>
        </w:rPr>
        <w:t xml:space="preserve">. The first is called the </w:t>
      </w:r>
      <w:r>
        <w:rPr>
          <w:rFonts w:ascii="Times New Roman" w:hAnsi="Times New Roman"/>
          <w:color w:val="0E101A"/>
        </w:rPr>
        <w:t>“</w:t>
      </w:r>
      <w:r>
        <w:rPr>
          <w:rFonts w:ascii="Times New Roman" w:hAnsi="Times New Roman"/>
          <w:color w:val="0E101A"/>
        </w:rPr>
        <w:t>preparatory phase,</w:t>
      </w:r>
      <w:r>
        <w:rPr>
          <w:rFonts w:ascii="Times New Roman" w:hAnsi="Times New Roman"/>
          <w:color w:val="0E101A"/>
        </w:rPr>
        <w:t>”</w:t>
      </w:r>
      <w:r>
        <w:rPr>
          <w:rFonts w:ascii="Times New Roman" w:hAnsi="Times New Roman"/>
          <w:color w:val="0E101A"/>
        </w:rPr>
        <w:t xml:space="preserve"> and the second is the </w:t>
      </w:r>
      <w:r>
        <w:rPr>
          <w:rFonts w:ascii="Times New Roman" w:hAnsi="Times New Roman"/>
          <w:color w:val="0E101A"/>
        </w:rPr>
        <w:t>“</w:t>
      </w:r>
      <w:r>
        <w:rPr>
          <w:rFonts w:ascii="Times New Roman" w:hAnsi="Times New Roman"/>
          <w:color w:val="0E101A"/>
        </w:rPr>
        <w:t>payoff phase.</w:t>
      </w:r>
      <w:r>
        <w:rPr>
          <w:rFonts w:ascii="Times New Roman" w:hAnsi="Times New Roman"/>
          <w:color w:val="0E101A"/>
        </w:rPr>
        <w:t>”</w:t>
      </w:r>
      <w:r>
        <w:rPr>
          <w:rFonts w:ascii="Times New Roman" w:hAnsi="Times New Roman"/>
          <w:color w:val="0E101A"/>
        </w:rPr>
        <w:t xml:space="preserve"> The preparatory phase consumes two ATP to place phosphate moieties strategically on metabolites, with the return of a total of four ATP in the payoff phase. Diversion of metabolic precursors to other pathways subtracts from the net four generated ATP.</w:t>
      </w:r>
      <w:r>
        <w:rPr>
          <w:rFonts w:ascii="Times New Roman" w:hAnsi="Times New Roman"/>
          <w:color w:val="0E101A"/>
          <w:vertAlign w:val="superscript"/>
        </w:rPr>
        <w:t xml:space="preserve">26, </w:t>
      </w:r>
      <w:r>
        <w:rPr>
          <w:rFonts w:ascii="Times New Roman" w:hAnsi="Times New Roman"/>
          <w:color w:val="0E101A"/>
          <w:vertAlign w:val="superscript"/>
        </w:rPr>
        <w:t>27</w:t>
      </w:r>
      <w:r>
        <w:rPr>
          <w:rFonts w:ascii="Times New Roman" w:hAnsi="Times New Roman"/>
          <w:color w:val="0E101A"/>
        </w:rPr>
        <w:t> </w:t>
      </w:r>
    </w:p>
    <w:p w14:paraId="2703A6C0" w14:textId="77777777" w:rsidR="002F1423" w:rsidRDefault="002F1423">
      <w:pPr>
        <w:pStyle w:val="Default"/>
        <w:spacing w:before="0" w:line="480" w:lineRule="auto"/>
        <w:rPr>
          <w:rFonts w:ascii="Times New Roman" w:eastAsia="Times New Roman" w:hAnsi="Times New Roman" w:cs="Times New Roman"/>
          <w:color w:val="0E101A"/>
        </w:rPr>
      </w:pPr>
    </w:p>
    <w:p w14:paraId="5220ED1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conversion of glucose to the first metabolite,</w:t>
      </w:r>
      <w:r>
        <w:rPr>
          <w:rFonts w:ascii="Times New Roman" w:hAnsi="Times New Roman"/>
          <w:color w:val="0E101A"/>
        </w:rPr>
        <w:t> </w:t>
      </w:r>
      <w:r>
        <w:rPr>
          <w:rFonts w:ascii="Times New Roman" w:hAnsi="Times New Roman"/>
          <w:color w:val="0E101A"/>
        </w:rPr>
        <w:t>glucose 6-phosphate</w:t>
      </w:r>
      <w:r>
        <w:rPr>
          <w:rFonts w:ascii="Times New Roman" w:hAnsi="Times New Roman"/>
          <w:i/>
          <w:iCs/>
          <w:color w:val="0E101A"/>
        </w:rPr>
        <w:t>,</w:t>
      </w:r>
      <w:r>
        <w:rPr>
          <w:rFonts w:ascii="Times New Roman" w:hAnsi="Times New Roman"/>
          <w:color w:val="0E101A"/>
        </w:rPr>
        <w:t> </w:t>
      </w:r>
      <w:r>
        <w:rPr>
          <w:rFonts w:ascii="Times New Roman" w:hAnsi="Times New Roman"/>
          <w:color w:val="0E101A"/>
        </w:rPr>
        <w:t>is accomplished at the cost of one ATP to fuel an important enzyme,</w:t>
      </w:r>
      <w:r>
        <w:rPr>
          <w:rFonts w:ascii="Times New Roman" w:hAnsi="Times New Roman"/>
          <w:color w:val="0E101A"/>
        </w:rPr>
        <w:t> </w:t>
      </w:r>
      <w:r>
        <w:rPr>
          <w:rFonts w:ascii="Times New Roman" w:hAnsi="Times New Roman"/>
          <w:color w:val="0E101A"/>
        </w:rPr>
        <w:t xml:space="preserve">hexokinase. As an aside, hexokinase has recently become the focus of much attention in degenerative </w:t>
      </w:r>
      <w:r>
        <w:rPr>
          <w:rFonts w:ascii="Times New Roman" w:hAnsi="Times New Roman"/>
          <w:color w:val="0E101A"/>
        </w:rPr>
        <w:t>central nervous system diseases, especially Alzheimer's, as ApoE2 patients will rarely have Alzheimer's and have a rich endowment of hexokinase, but ApoE4 is associated with CNS deterioration, with reduced hexokinase.</w:t>
      </w:r>
      <w:r>
        <w:rPr>
          <w:rFonts w:ascii="Times New Roman" w:hAnsi="Times New Roman"/>
          <w:color w:val="0E101A"/>
          <w:vertAlign w:val="superscript"/>
        </w:rPr>
        <w:t>28, 29, 30</w:t>
      </w:r>
      <w:r>
        <w:rPr>
          <w:rFonts w:ascii="Times New Roman" w:hAnsi="Times New Roman"/>
          <w:color w:val="0E101A"/>
        </w:rPr>
        <w:t> </w:t>
      </w:r>
    </w:p>
    <w:p w14:paraId="54336C6F" w14:textId="77777777" w:rsidR="002F1423" w:rsidRDefault="002F1423">
      <w:pPr>
        <w:pStyle w:val="Default"/>
        <w:spacing w:before="0" w:line="480" w:lineRule="auto"/>
        <w:rPr>
          <w:rFonts w:ascii="Times New Roman" w:eastAsia="Times New Roman" w:hAnsi="Times New Roman" w:cs="Times New Roman"/>
          <w:color w:val="0E101A"/>
        </w:rPr>
      </w:pPr>
    </w:p>
    <w:p w14:paraId="53D3AE3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Once hexokinase's first ch</w:t>
      </w:r>
      <w:r>
        <w:rPr>
          <w:rFonts w:ascii="Times New Roman" w:hAnsi="Times New Roman"/>
          <w:color w:val="0E101A"/>
        </w:rPr>
        <w:t>ange of glucose occurs, the first diversion of glucose from its ultimate goal of producing pyruvate can occur. Here, glucose 6-phosphate can shunt to participate in synthesizing a storage compound, glycogen, a complex carbohydrate. A second diversion occur</w:t>
      </w:r>
      <w:r>
        <w:rPr>
          <w:rFonts w:ascii="Times New Roman" w:hAnsi="Times New Roman"/>
          <w:color w:val="0E101A"/>
        </w:rPr>
        <w:t>s when</w:t>
      </w:r>
      <w:r>
        <w:rPr>
          <w:rFonts w:ascii="Times New Roman" w:hAnsi="Times New Roman"/>
          <w:color w:val="0E101A"/>
        </w:rPr>
        <w:t> </w:t>
      </w:r>
      <w:r>
        <w:rPr>
          <w:rFonts w:ascii="Times New Roman" w:hAnsi="Times New Roman"/>
          <w:color w:val="0E101A"/>
        </w:rPr>
        <w:t>glucose-6-phosphate dehydrogenase (G6PD)</w:t>
      </w:r>
      <w:r>
        <w:rPr>
          <w:rFonts w:ascii="Times New Roman" w:hAnsi="Times New Roman"/>
          <w:color w:val="0E101A"/>
        </w:rPr>
        <w:t> </w:t>
      </w:r>
      <w:r>
        <w:rPr>
          <w:rFonts w:ascii="Times New Roman" w:hAnsi="Times New Roman"/>
          <w:color w:val="0E101A"/>
        </w:rPr>
        <w:t>is activated to convert G-6-P to</w:t>
      </w:r>
      <w:r>
        <w:rPr>
          <w:rFonts w:ascii="Times New Roman" w:hAnsi="Times New Roman"/>
          <w:color w:val="0E101A"/>
        </w:rPr>
        <w:t> </w:t>
      </w:r>
      <w:r>
        <w:rPr>
          <w:rFonts w:ascii="Times New Roman" w:hAnsi="Times New Roman"/>
          <w:color w:val="0E101A"/>
        </w:rPr>
        <w:t>ribose-5-P, the first step of the pentose phosphate shunt, a significant source of metabolites, especially nucleotides, needed for added cell division. This shunt is a crucial</w:t>
      </w:r>
      <w:r>
        <w:rPr>
          <w:rFonts w:ascii="Times New Roman" w:hAnsi="Times New Roman"/>
          <w:color w:val="0E101A"/>
        </w:rPr>
        <w:t xml:space="preserve"> diversion used in proliferative physiology.</w:t>
      </w:r>
    </w:p>
    <w:p w14:paraId="7ACEA620" w14:textId="77777777" w:rsidR="002F1423" w:rsidRDefault="002F1423">
      <w:pPr>
        <w:pStyle w:val="Default"/>
        <w:spacing w:before="0" w:line="480" w:lineRule="auto"/>
        <w:rPr>
          <w:rFonts w:ascii="Times New Roman" w:eastAsia="Times New Roman" w:hAnsi="Times New Roman" w:cs="Times New Roman"/>
          <w:color w:val="0E101A"/>
        </w:rPr>
      </w:pPr>
    </w:p>
    <w:p w14:paraId="64C82464"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If glycolysis continues, the next step is to make</w:t>
      </w:r>
      <w:r>
        <w:rPr>
          <w:rFonts w:ascii="Times New Roman" w:hAnsi="Times New Roman"/>
          <w:color w:val="0E101A"/>
        </w:rPr>
        <w:t> </w:t>
      </w:r>
      <w:r>
        <w:rPr>
          <w:rFonts w:ascii="Times New Roman" w:hAnsi="Times New Roman"/>
          <w:color w:val="0E101A"/>
        </w:rPr>
        <w:t>fructose 6-phosphate</w:t>
      </w:r>
      <w:r>
        <w:rPr>
          <w:rFonts w:ascii="Times New Roman" w:hAnsi="Times New Roman"/>
          <w:color w:val="0E101A"/>
        </w:rPr>
        <w:t> </w:t>
      </w:r>
      <w:r>
        <w:rPr>
          <w:rFonts w:ascii="Times New Roman" w:hAnsi="Times New Roman"/>
          <w:color w:val="0E101A"/>
        </w:rPr>
        <w:t>by an enzyme</w:t>
      </w:r>
      <w:r>
        <w:rPr>
          <w:rFonts w:ascii="Times New Roman" w:hAnsi="Times New Roman"/>
          <w:color w:val="0E101A"/>
        </w:rPr>
        <w:t> </w:t>
      </w:r>
      <w:r>
        <w:rPr>
          <w:rFonts w:ascii="Times New Roman" w:hAnsi="Times New Roman"/>
          <w:color w:val="0E101A"/>
          <w:lang w:val="de-DE"/>
        </w:rPr>
        <w:t>phosphohexose</w:t>
      </w:r>
      <w:r>
        <w:rPr>
          <w:rFonts w:ascii="Times New Roman" w:hAnsi="Times New Roman"/>
          <w:color w:val="0E101A"/>
        </w:rPr>
        <w:t> </w:t>
      </w:r>
      <w:r>
        <w:rPr>
          <w:rFonts w:ascii="Times New Roman" w:hAnsi="Times New Roman"/>
          <w:color w:val="0E101A"/>
        </w:rPr>
        <w:t xml:space="preserve">isomerase. The new stereochemistry primes fructose 6-phosphate, and at the cost of one additional ATP, the </w:t>
      </w:r>
      <w:r>
        <w:rPr>
          <w:rFonts w:ascii="Times New Roman" w:hAnsi="Times New Roman"/>
          <w:color w:val="0E101A"/>
        </w:rPr>
        <w:t>enzyme</w:t>
      </w:r>
      <w:r>
        <w:rPr>
          <w:rFonts w:ascii="Times New Roman" w:hAnsi="Times New Roman"/>
          <w:color w:val="0E101A"/>
        </w:rPr>
        <w:t> </w:t>
      </w:r>
      <w:r>
        <w:rPr>
          <w:rFonts w:ascii="Times New Roman" w:hAnsi="Times New Roman"/>
          <w:color w:val="0E101A"/>
          <w:lang w:val="es-ES_tradnl"/>
        </w:rPr>
        <w:t>phospho-fructokinase-1</w:t>
      </w:r>
      <w:r>
        <w:rPr>
          <w:rFonts w:ascii="Times New Roman" w:hAnsi="Times New Roman"/>
          <w:color w:val="0E101A"/>
        </w:rPr>
        <w:t> </w:t>
      </w:r>
      <w:r>
        <w:rPr>
          <w:rFonts w:ascii="Times New Roman" w:hAnsi="Times New Roman"/>
          <w:color w:val="0E101A"/>
        </w:rPr>
        <w:t>will add a phosphate group making</w:t>
      </w:r>
      <w:r>
        <w:rPr>
          <w:rFonts w:ascii="Times New Roman" w:hAnsi="Times New Roman"/>
          <w:color w:val="0E101A"/>
        </w:rPr>
        <w:t> </w:t>
      </w:r>
      <w:r>
        <w:rPr>
          <w:rFonts w:ascii="Times New Roman" w:hAnsi="Times New Roman"/>
          <w:color w:val="0E101A"/>
        </w:rPr>
        <w:t>fructose 1,6-bisphosphate. The 6-carbon ring can now be cleaved into two pieces. Note that fructose-6-phosphate can lead to the hexosamine biosynthetic shunt, part of the cell's metabolic resp</w:t>
      </w:r>
      <w:r>
        <w:rPr>
          <w:rFonts w:ascii="Times New Roman" w:hAnsi="Times New Roman"/>
          <w:color w:val="0E101A"/>
        </w:rPr>
        <w:t>onse to stressors such as infection, ischemia, or trauma.</w:t>
      </w:r>
    </w:p>
    <w:p w14:paraId="6D28F973" w14:textId="77777777" w:rsidR="002F1423" w:rsidRDefault="002F1423">
      <w:pPr>
        <w:pStyle w:val="Default"/>
        <w:spacing w:before="0" w:line="480" w:lineRule="auto"/>
        <w:rPr>
          <w:rFonts w:ascii="Times New Roman" w:eastAsia="Times New Roman" w:hAnsi="Times New Roman" w:cs="Times New Roman"/>
          <w:color w:val="0E101A"/>
        </w:rPr>
      </w:pPr>
    </w:p>
    <w:p w14:paraId="57F6AAE9"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This cleavage is accomplished by the enzyme</w:t>
      </w:r>
      <w:r>
        <w:rPr>
          <w:rFonts w:ascii="Times New Roman" w:hAnsi="Times New Roman"/>
          <w:color w:val="0E101A"/>
        </w:rPr>
        <w:t> </w:t>
      </w:r>
      <w:r>
        <w:rPr>
          <w:rFonts w:ascii="Times New Roman" w:hAnsi="Times New Roman"/>
          <w:color w:val="0E101A"/>
        </w:rPr>
        <w:t>aldolase, known for its role in muscular diseases, to make</w:t>
      </w:r>
      <w:r>
        <w:rPr>
          <w:rFonts w:ascii="Times New Roman" w:hAnsi="Times New Roman"/>
          <w:color w:val="0E101A"/>
        </w:rPr>
        <w:t> </w:t>
      </w:r>
      <w:r>
        <w:rPr>
          <w:rFonts w:ascii="Times New Roman" w:hAnsi="Times New Roman"/>
          <w:color w:val="0E101A"/>
        </w:rPr>
        <w:t>glyceraldehyde 3-phosphate</w:t>
      </w:r>
      <w:r>
        <w:rPr>
          <w:rFonts w:ascii="Times New Roman" w:hAnsi="Times New Roman"/>
          <w:color w:val="0E101A"/>
        </w:rPr>
        <w:t> </w:t>
      </w:r>
      <w:r>
        <w:rPr>
          <w:rFonts w:ascii="Times New Roman" w:hAnsi="Times New Roman"/>
          <w:color w:val="0E101A"/>
        </w:rPr>
        <w:t>and</w:t>
      </w:r>
      <w:r>
        <w:rPr>
          <w:rFonts w:ascii="Times New Roman" w:hAnsi="Times New Roman"/>
          <w:color w:val="0E101A"/>
        </w:rPr>
        <w:t> </w:t>
      </w:r>
      <w:r>
        <w:rPr>
          <w:rFonts w:ascii="Times New Roman" w:hAnsi="Times New Roman"/>
          <w:color w:val="0E101A"/>
        </w:rPr>
        <w:t>dihydroxyacetone phosphate.</w:t>
      </w:r>
      <w:r>
        <w:rPr>
          <w:rFonts w:ascii="Times New Roman" w:hAnsi="Times New Roman"/>
          <w:color w:val="0E101A"/>
        </w:rPr>
        <w:t xml:space="preserve"> </w:t>
      </w:r>
      <w:r>
        <w:rPr>
          <w:rFonts w:ascii="Times New Roman" w:hAnsi="Times New Roman"/>
          <w:color w:val="0E101A"/>
        </w:rPr>
        <w:t xml:space="preserve">The latter is then </w:t>
      </w:r>
      <w:r>
        <w:rPr>
          <w:rFonts w:ascii="Times New Roman" w:hAnsi="Times New Roman"/>
          <w:color w:val="0E101A"/>
        </w:rPr>
        <w:t>converted by</w:t>
      </w:r>
      <w:r>
        <w:rPr>
          <w:rFonts w:ascii="Times New Roman" w:hAnsi="Times New Roman"/>
          <w:color w:val="0E101A"/>
        </w:rPr>
        <w:t> </w:t>
      </w:r>
      <w:r>
        <w:rPr>
          <w:rFonts w:ascii="Times New Roman" w:hAnsi="Times New Roman"/>
          <w:color w:val="0E101A"/>
          <w:lang w:val="it-IT"/>
        </w:rPr>
        <w:t>triose</w:t>
      </w:r>
      <w:r>
        <w:rPr>
          <w:rFonts w:ascii="Times New Roman" w:hAnsi="Times New Roman"/>
          <w:i/>
          <w:iCs/>
          <w:color w:val="0E101A"/>
        </w:rPr>
        <w:t xml:space="preserve"> </w:t>
      </w:r>
      <w:r>
        <w:rPr>
          <w:rFonts w:ascii="Times New Roman" w:hAnsi="Times New Roman"/>
          <w:color w:val="0E101A"/>
        </w:rPr>
        <w:t xml:space="preserve">phosphate isomerase, thus making two molecules of glyceraldehyde 3-phosphate. </w:t>
      </w:r>
      <w:r>
        <w:rPr>
          <w:rFonts w:ascii="Times New Roman" w:hAnsi="Times New Roman"/>
        </w:rPr>
        <w:t>If the word glycerol seems similar to glyceraldehyde, it is because there can be a diversion of glyceraldehyde to make glycerol.</w:t>
      </w:r>
      <w:r>
        <w:rPr>
          <w:rFonts w:ascii="Times New Roman" w:hAnsi="Times New Roman"/>
          <w:color w:val="0E101A"/>
        </w:rPr>
        <w:t xml:space="preserve"> Alternatively, dihydroxyacetone phosphate can participate in synthesizing lipids.</w:t>
      </w:r>
      <w:r>
        <w:rPr>
          <w:rFonts w:ascii="Times New Roman" w:hAnsi="Times New Roman"/>
          <w:color w:val="0E101A"/>
        </w:rPr>
        <w:t> </w:t>
      </w:r>
    </w:p>
    <w:p w14:paraId="2D07897B" w14:textId="77777777" w:rsidR="002F1423" w:rsidRDefault="002F1423">
      <w:pPr>
        <w:pStyle w:val="Default"/>
        <w:spacing w:before="0" w:line="480" w:lineRule="auto"/>
        <w:rPr>
          <w:rFonts w:ascii="Times New Roman" w:eastAsia="Times New Roman" w:hAnsi="Times New Roman" w:cs="Times New Roman"/>
          <w:color w:val="FF2600"/>
        </w:rPr>
      </w:pPr>
    </w:p>
    <w:p w14:paraId="15320F8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This step marks the crossover from the preparatory phase to the payoff phase. The two molecules of glyceraldehyde 3-phosphate can be converted by oxidation and phosphoryla</w:t>
      </w:r>
      <w:r>
        <w:rPr>
          <w:rFonts w:ascii="Times New Roman" w:hAnsi="Times New Roman"/>
          <w:color w:val="0E101A"/>
        </w:rPr>
        <w:t>tion using the enzyme</w:t>
      </w:r>
      <w:r>
        <w:rPr>
          <w:rFonts w:ascii="Times New Roman" w:hAnsi="Times New Roman"/>
          <w:color w:val="0E101A"/>
        </w:rPr>
        <w:t> </w:t>
      </w:r>
      <w:r>
        <w:rPr>
          <w:rFonts w:ascii="Times New Roman" w:hAnsi="Times New Roman"/>
          <w:color w:val="0E101A"/>
        </w:rPr>
        <w:t>glyceraldehyde 3</w:t>
      </w:r>
      <w:r>
        <w:rPr>
          <w:rFonts w:ascii="Times New Roman" w:hAnsi="Times New Roman"/>
          <w:i/>
          <w:iCs/>
          <w:color w:val="0E101A"/>
        </w:rPr>
        <w:t>-</w:t>
      </w:r>
      <w:r>
        <w:rPr>
          <w:rFonts w:ascii="Times New Roman" w:hAnsi="Times New Roman"/>
          <w:color w:val="0E101A"/>
        </w:rPr>
        <w:t>phosphate dehydrogenase (GAPDH)</w:t>
      </w:r>
      <w:r>
        <w:rPr>
          <w:rFonts w:ascii="Times New Roman" w:hAnsi="Times New Roman"/>
          <w:color w:val="0E101A"/>
        </w:rPr>
        <w:t> </w:t>
      </w:r>
      <w:r>
        <w:rPr>
          <w:rFonts w:ascii="Times New Roman" w:hAnsi="Times New Roman"/>
          <w:color w:val="0E101A"/>
        </w:rPr>
        <w:t>to make two molecules of</w:t>
      </w:r>
      <w:r>
        <w:rPr>
          <w:rFonts w:ascii="Times New Roman" w:hAnsi="Times New Roman"/>
          <w:color w:val="0E101A"/>
        </w:rPr>
        <w:t> </w:t>
      </w:r>
      <w:r>
        <w:rPr>
          <w:rFonts w:ascii="Times New Roman" w:hAnsi="Times New Roman"/>
          <w:color w:val="0E101A"/>
        </w:rPr>
        <w:t xml:space="preserve">1,3 biphosphoglycerate. GAPDH is a vitally important enzyme that serves as a rate-controlling regulator of pyruvate production that, in turn, serves as a vital </w:t>
      </w:r>
      <w:r>
        <w:rPr>
          <w:rFonts w:ascii="Times New Roman" w:hAnsi="Times New Roman"/>
          <w:color w:val="0E101A"/>
        </w:rPr>
        <w:t xml:space="preserve">component of gamma interferon activated inhibitor of translation (GAIT), as will be discussed. GAIT provides a mechanism for cellular feedback control to downregulate inflammatory cytokine responses and maintain metabolism. GAPDH has other important roles </w:t>
      </w:r>
      <w:r>
        <w:rPr>
          <w:rFonts w:ascii="Times New Roman" w:hAnsi="Times New Roman"/>
          <w:color w:val="0E101A"/>
        </w:rPr>
        <w:t>as well.</w:t>
      </w:r>
    </w:p>
    <w:p w14:paraId="3C8B3BDC" w14:textId="77777777" w:rsidR="002F1423" w:rsidRDefault="002F1423">
      <w:pPr>
        <w:pStyle w:val="Default"/>
        <w:spacing w:before="0" w:line="480" w:lineRule="auto"/>
        <w:rPr>
          <w:rFonts w:ascii="Times New Roman" w:eastAsia="Times New Roman" w:hAnsi="Times New Roman" w:cs="Times New Roman"/>
          <w:color w:val="0E101A"/>
        </w:rPr>
      </w:pPr>
    </w:p>
    <w:p w14:paraId="4484442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GAPDH will also generate reduced</w:t>
      </w:r>
      <w:r>
        <w:rPr>
          <w:rFonts w:ascii="Times New Roman" w:hAnsi="Times New Roman"/>
          <w:color w:val="0E101A"/>
        </w:rPr>
        <w:t> </w:t>
      </w:r>
      <w:r>
        <w:rPr>
          <w:rFonts w:ascii="Times New Roman" w:hAnsi="Times New Roman"/>
          <w:i/>
          <w:iCs/>
          <w:color w:val="0E101A"/>
        </w:rPr>
        <w:t>NADH</w:t>
      </w:r>
      <w:r>
        <w:rPr>
          <w:rFonts w:ascii="Times New Roman" w:hAnsi="Times New Roman"/>
          <w:color w:val="0E101A"/>
        </w:rPr>
        <w:t> </w:t>
      </w:r>
      <w:r>
        <w:rPr>
          <w:rFonts w:ascii="Times New Roman" w:hAnsi="Times New Roman"/>
          <w:color w:val="0E101A"/>
        </w:rPr>
        <w:t>in this pathway in the next step, facilitating the production of two additional ATP. Step 7 uses</w:t>
      </w:r>
      <w:r>
        <w:rPr>
          <w:rFonts w:ascii="Times New Roman" w:hAnsi="Times New Roman"/>
          <w:color w:val="0E101A"/>
        </w:rPr>
        <w:t> </w:t>
      </w:r>
      <w:r>
        <w:rPr>
          <w:rFonts w:ascii="Times New Roman" w:hAnsi="Times New Roman"/>
          <w:color w:val="0E101A"/>
        </w:rPr>
        <w:t>phosphoglycerate kinase</w:t>
      </w:r>
      <w:r>
        <w:rPr>
          <w:rFonts w:ascii="Times New Roman" w:hAnsi="Times New Roman"/>
          <w:color w:val="0E101A"/>
        </w:rPr>
        <w:t> </w:t>
      </w:r>
      <w:r>
        <w:rPr>
          <w:rFonts w:ascii="Times New Roman" w:hAnsi="Times New Roman"/>
          <w:color w:val="0E101A"/>
        </w:rPr>
        <w:t>to make two copies of a single phosphate molecule,</w:t>
      </w:r>
      <w:r>
        <w:rPr>
          <w:rFonts w:ascii="Times New Roman" w:hAnsi="Times New Roman"/>
          <w:color w:val="0E101A"/>
        </w:rPr>
        <w:t> </w:t>
      </w:r>
      <w:r>
        <w:rPr>
          <w:rFonts w:ascii="Times New Roman" w:hAnsi="Times New Roman"/>
          <w:color w:val="0E101A"/>
        </w:rPr>
        <w:t>3-phosphoglycerate</w:t>
      </w:r>
      <w:r>
        <w:rPr>
          <w:rFonts w:ascii="Times New Roman" w:hAnsi="Times New Roman"/>
          <w:i/>
          <w:iCs/>
          <w:color w:val="0E101A"/>
        </w:rPr>
        <w:t>.</w:t>
      </w:r>
      <w:r>
        <w:rPr>
          <w:rFonts w:ascii="Times New Roman" w:hAnsi="Times New Roman"/>
          <w:i/>
          <w:iCs/>
          <w:color w:val="0E101A"/>
        </w:rPr>
        <w:t> </w:t>
      </w:r>
      <w:r>
        <w:rPr>
          <w:rFonts w:ascii="Times New Roman" w:hAnsi="Times New Roman"/>
          <w:color w:val="0E101A"/>
        </w:rPr>
        <w:t>Cleaving a phosphate group from each permits conversion of ADP to make a total of two ATP for each pyruvate. Remember, the preparatory phase saw the consumption of two ATP; now, two sets of two ATP are returned, making a net yield of positive two molecules</w:t>
      </w:r>
      <w:r>
        <w:rPr>
          <w:rFonts w:ascii="Times New Roman" w:hAnsi="Times New Roman"/>
          <w:color w:val="0E101A"/>
        </w:rPr>
        <w:t xml:space="preserve"> of ATP. Conversion of 3-phosphoglycerate into the amino acid serine fuels the production of other amino acids needed for protein synthesis.</w:t>
      </w:r>
    </w:p>
    <w:p w14:paraId="2136A4B2" w14:textId="77777777" w:rsidR="002F1423" w:rsidRDefault="002F1423">
      <w:pPr>
        <w:pStyle w:val="Default"/>
        <w:spacing w:before="0" w:line="480" w:lineRule="auto"/>
        <w:rPr>
          <w:rFonts w:ascii="Times New Roman" w:eastAsia="Times New Roman" w:hAnsi="Times New Roman" w:cs="Times New Roman"/>
          <w:color w:val="0E101A"/>
        </w:rPr>
      </w:pPr>
    </w:p>
    <w:p w14:paraId="4858FA0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Next, moving one phosphate is a necessary step to manufacture two copies of 2-phosphoglycerate</w:t>
      </w:r>
      <w:r>
        <w:rPr>
          <w:rFonts w:ascii="Times New Roman" w:hAnsi="Times New Roman"/>
          <w:color w:val="0E101A"/>
        </w:rPr>
        <w:t> </w:t>
      </w:r>
      <w:r>
        <w:rPr>
          <w:rFonts w:ascii="Times New Roman" w:hAnsi="Times New Roman"/>
          <w:color w:val="0E101A"/>
        </w:rPr>
        <w:t>by</w:t>
      </w:r>
      <w:r>
        <w:rPr>
          <w:rFonts w:ascii="Times New Roman" w:hAnsi="Times New Roman"/>
          <w:color w:val="0E101A"/>
        </w:rPr>
        <w:t> </w:t>
      </w:r>
      <w:r>
        <w:rPr>
          <w:rFonts w:ascii="Times New Roman" w:hAnsi="Times New Roman"/>
          <w:color w:val="0E101A"/>
        </w:rPr>
        <w:t>phosphoglycerate mutase. Enolase converts each 2-phosphoglycerate into</w:t>
      </w:r>
      <w:r>
        <w:rPr>
          <w:rFonts w:ascii="Times New Roman" w:hAnsi="Times New Roman"/>
          <w:color w:val="0E101A"/>
        </w:rPr>
        <w:t> </w:t>
      </w:r>
      <w:r>
        <w:rPr>
          <w:rFonts w:ascii="Times New Roman" w:hAnsi="Times New Roman"/>
          <w:color w:val="0E101A"/>
        </w:rPr>
        <w:t>phosphoenolpyruvate</w:t>
      </w:r>
      <w:r>
        <w:rPr>
          <w:rFonts w:ascii="Times New Roman" w:hAnsi="Times New Roman"/>
          <w:i/>
          <w:iCs/>
          <w:color w:val="0E101A"/>
        </w:rPr>
        <w:t>.</w:t>
      </w:r>
      <w:r>
        <w:rPr>
          <w:rFonts w:ascii="Times New Roman" w:hAnsi="Times New Roman"/>
          <w:color w:val="0E101A"/>
        </w:rPr>
        <w:t> </w:t>
      </w:r>
      <w:r>
        <w:rPr>
          <w:rFonts w:ascii="Times New Roman" w:hAnsi="Times New Roman"/>
          <w:color w:val="0E101A"/>
        </w:rPr>
        <w:t>Pyruvate kinase further converts this compound to make pyruvate.</w:t>
      </w:r>
      <w:r>
        <w:rPr>
          <w:rFonts w:ascii="Times New Roman" w:hAnsi="Times New Roman"/>
          <w:color w:val="0E101A"/>
        </w:rPr>
        <w:t> </w:t>
      </w:r>
    </w:p>
    <w:p w14:paraId="187DF089" w14:textId="77777777" w:rsidR="002F1423" w:rsidRDefault="002F1423">
      <w:pPr>
        <w:pStyle w:val="Default"/>
        <w:spacing w:before="0" w:line="480" w:lineRule="auto"/>
        <w:rPr>
          <w:rFonts w:ascii="Times New Roman" w:eastAsia="Times New Roman" w:hAnsi="Times New Roman" w:cs="Times New Roman"/>
          <w:color w:val="0E101A"/>
        </w:rPr>
      </w:pPr>
    </w:p>
    <w:p w14:paraId="32817E8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If pyruvate can traverse the outer mitochondrial membrane and reach the mitochondrial matrix, it </w:t>
      </w:r>
      <w:r>
        <w:rPr>
          <w:rFonts w:ascii="Times New Roman" w:hAnsi="Times New Roman"/>
          <w:color w:val="0E101A"/>
        </w:rPr>
        <w:t>feeds into the Krebs cycle (tricarboxylic acid pathway</w:t>
      </w:r>
      <w:r>
        <w:rPr>
          <w:rFonts w:ascii="Times New Roman" w:hAnsi="Times New Roman"/>
          <w:i/>
          <w:iCs/>
          <w:color w:val="0E101A"/>
        </w:rPr>
        <w:t xml:space="preserve">, </w:t>
      </w:r>
      <w:r>
        <w:rPr>
          <w:rFonts w:ascii="Times New Roman" w:hAnsi="Times New Roman"/>
          <w:color w:val="0E101A"/>
        </w:rPr>
        <w:t>TCA), where it can be converted to acetyl-CoA by</w:t>
      </w:r>
      <w:r>
        <w:rPr>
          <w:rFonts w:ascii="Times New Roman" w:hAnsi="Times New Roman"/>
          <w:color w:val="0E101A"/>
        </w:rPr>
        <w:t> </w:t>
      </w:r>
      <w:r>
        <w:rPr>
          <w:rFonts w:ascii="Times New Roman" w:hAnsi="Times New Roman"/>
          <w:color w:val="0E101A"/>
        </w:rPr>
        <w:t>pyruvate dehydrogenase</w:t>
      </w:r>
      <w:r>
        <w:rPr>
          <w:rFonts w:ascii="Times New Roman" w:hAnsi="Times New Roman"/>
          <w:i/>
          <w:iCs/>
          <w:color w:val="0E101A"/>
        </w:rPr>
        <w:t xml:space="preserve"> </w:t>
      </w:r>
      <w:r>
        <w:rPr>
          <w:rFonts w:ascii="Times New Roman" w:hAnsi="Times New Roman"/>
          <w:color w:val="0E101A"/>
          <w:lang w:val="fr-FR"/>
        </w:rPr>
        <w:t>(PDH)</w:t>
      </w:r>
      <w:r>
        <w:rPr>
          <w:rFonts w:ascii="Times New Roman" w:hAnsi="Times New Roman"/>
          <w:i/>
          <w:iCs/>
          <w:color w:val="0E101A"/>
        </w:rPr>
        <w:t>,</w:t>
      </w:r>
      <w:r>
        <w:rPr>
          <w:rFonts w:ascii="Times New Roman" w:hAnsi="Times New Roman"/>
          <w:color w:val="0E101A"/>
        </w:rPr>
        <w:t> </w:t>
      </w:r>
      <w:r>
        <w:rPr>
          <w:rFonts w:ascii="Times New Roman" w:hAnsi="Times New Roman"/>
          <w:color w:val="0E101A"/>
        </w:rPr>
        <w:t>leading to lipid synthesis. Pyruvate kinase</w:t>
      </w:r>
      <w:r>
        <w:rPr>
          <w:rFonts w:ascii="Times New Roman" w:hAnsi="Times New Roman"/>
          <w:i/>
          <w:iCs/>
          <w:color w:val="0E101A"/>
        </w:rPr>
        <w:t xml:space="preserve"> </w:t>
      </w:r>
      <w:r>
        <w:rPr>
          <w:rFonts w:ascii="Times New Roman" w:hAnsi="Times New Roman"/>
          <w:color w:val="0E101A"/>
        </w:rPr>
        <w:t>(PDK1)</w:t>
      </w:r>
      <w:r>
        <w:rPr>
          <w:rFonts w:ascii="Times New Roman" w:hAnsi="Times New Roman"/>
          <w:i/>
          <w:iCs/>
          <w:color w:val="0E101A"/>
        </w:rPr>
        <w:t xml:space="preserve"> </w:t>
      </w:r>
      <w:r>
        <w:rPr>
          <w:rFonts w:ascii="Times New Roman" w:hAnsi="Times New Roman"/>
          <w:color w:val="0E101A"/>
        </w:rPr>
        <w:t>can block</w:t>
      </w:r>
      <w:r>
        <w:rPr>
          <w:rFonts w:ascii="Times New Roman" w:hAnsi="Times New Roman"/>
          <w:i/>
          <w:iCs/>
          <w:color w:val="0E101A"/>
        </w:rPr>
        <w:t xml:space="preserve"> </w:t>
      </w:r>
      <w:r>
        <w:rPr>
          <w:rFonts w:ascii="Times New Roman" w:hAnsi="Times New Roman"/>
          <w:color w:val="0E101A"/>
        </w:rPr>
        <w:t>PDH</w:t>
      </w:r>
      <w:r>
        <w:rPr>
          <w:rFonts w:ascii="Times New Roman" w:hAnsi="Times New Roman"/>
          <w:i/>
          <w:iCs/>
          <w:color w:val="0E101A"/>
        </w:rPr>
        <w:t>.</w:t>
      </w:r>
      <w:r>
        <w:rPr>
          <w:rFonts w:ascii="Times New Roman" w:hAnsi="Times New Roman"/>
          <w:i/>
          <w:iCs/>
          <w:color w:val="0E101A"/>
        </w:rPr>
        <w:t> </w:t>
      </w:r>
      <w:r>
        <w:rPr>
          <w:rFonts w:ascii="Times New Roman" w:hAnsi="Times New Roman"/>
          <w:color w:val="0E101A"/>
        </w:rPr>
        <w:t xml:space="preserve">Hypoxia-inducible factor 1 alpha </w:t>
      </w:r>
      <w:r>
        <w:rPr>
          <w:rFonts w:ascii="Times New Roman" w:hAnsi="Times New Roman"/>
          <w:color w:val="0E101A"/>
        </w:rPr>
        <w:t>(HIF-1</w:t>
      </w:r>
      <w:r>
        <w:rPr>
          <w:rFonts w:ascii="Times New Roman" w:hAnsi="Times New Roman"/>
          <w:color w:val="0E101A"/>
        </w:rPr>
        <w:t>α</w:t>
      </w:r>
      <w:r>
        <w:rPr>
          <w:rFonts w:ascii="Times New Roman" w:hAnsi="Times New Roman"/>
          <w:color w:val="0E101A"/>
        </w:rPr>
        <w:t xml:space="preserve">) </w:t>
      </w:r>
      <w:r>
        <w:rPr>
          <w:rFonts w:ascii="Times New Roman" w:hAnsi="Times New Roman"/>
          <w:color w:val="0E101A"/>
        </w:rPr>
        <w:t>induces PDK1</w:t>
      </w:r>
      <w:r>
        <w:rPr>
          <w:rFonts w:ascii="Times New Roman" w:hAnsi="Times New Roman"/>
          <w:i/>
          <w:iCs/>
          <w:color w:val="0E101A"/>
        </w:rPr>
        <w:t>,</w:t>
      </w:r>
      <w:r>
        <w:rPr>
          <w:rFonts w:ascii="Times New Roman" w:hAnsi="Times New Roman"/>
          <w:i/>
          <w:iCs/>
          <w:color w:val="0E101A"/>
        </w:rPr>
        <w:t> </w:t>
      </w:r>
      <w:r>
        <w:rPr>
          <w:rFonts w:ascii="Times New Roman" w:hAnsi="Times New Roman"/>
          <w:color w:val="0E101A"/>
        </w:rPr>
        <w:t>a compound that also activates the conversion of pyruvate to lactate. Further, HIF-1</w:t>
      </w:r>
      <w:r>
        <w:rPr>
          <w:rFonts w:ascii="Times New Roman" w:hAnsi="Times New Roman"/>
          <w:color w:val="0E101A"/>
        </w:rPr>
        <w:t xml:space="preserve">α </w:t>
      </w:r>
      <w:r>
        <w:rPr>
          <w:rFonts w:ascii="Times New Roman" w:hAnsi="Times New Roman"/>
          <w:color w:val="0E101A"/>
        </w:rPr>
        <w:t>can increase glucose uptake through GLUT-1 and 4 and activate hexokinase, setting off glycolysis. HIF-1</w:t>
      </w:r>
      <w:r>
        <w:rPr>
          <w:rFonts w:ascii="Times New Roman" w:hAnsi="Times New Roman"/>
          <w:color w:val="0E101A"/>
        </w:rPr>
        <w:t xml:space="preserve">α </w:t>
      </w:r>
      <w:r>
        <w:rPr>
          <w:rFonts w:ascii="Times New Roman" w:hAnsi="Times New Roman"/>
          <w:color w:val="0E101A"/>
        </w:rPr>
        <w:t>is important in aerobic glycolysis (see the section</w:t>
      </w:r>
      <w:r>
        <w:rPr>
          <w:rFonts w:ascii="Times New Roman" w:hAnsi="Times New Roman"/>
          <w:color w:val="0E101A"/>
        </w:rPr>
        <w:t xml:space="preserve"> on PAH below). There is interest in using PDK1 as a possible chemotherapy agent, as the use of aerobic glycolysis typifies many cancers. HIF-1</w:t>
      </w:r>
      <w:r>
        <w:rPr>
          <w:rFonts w:ascii="Times New Roman" w:hAnsi="Times New Roman"/>
          <w:color w:val="0E101A"/>
        </w:rPr>
        <w:t xml:space="preserve">α </w:t>
      </w:r>
      <w:r>
        <w:rPr>
          <w:rFonts w:ascii="Times New Roman" w:hAnsi="Times New Roman"/>
          <w:color w:val="0E101A"/>
        </w:rPr>
        <w:t>also has a significant role in suppressing the production of T regulatory (reg) cells by activating the product</w:t>
      </w:r>
      <w:r>
        <w:rPr>
          <w:rFonts w:ascii="Times New Roman" w:hAnsi="Times New Roman"/>
          <w:color w:val="0E101A"/>
        </w:rPr>
        <w:t>ion of T effector cells.</w:t>
      </w:r>
    </w:p>
    <w:p w14:paraId="2CDEE053" w14:textId="77777777" w:rsidR="002F1423" w:rsidRDefault="002F1423">
      <w:pPr>
        <w:pStyle w:val="Default"/>
        <w:spacing w:before="0" w:line="480" w:lineRule="auto"/>
        <w:rPr>
          <w:rFonts w:ascii="Times New Roman" w:eastAsia="Times New Roman" w:hAnsi="Times New Roman" w:cs="Times New Roman"/>
          <w:color w:val="0E101A"/>
        </w:rPr>
      </w:pPr>
    </w:p>
    <w:p w14:paraId="7D50923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As complex as the glycolysis pathway is with its multiple diversions, a basic tenet of metabolism is that the activation of one pathway will change the activity of competing pathways.</w:t>
      </w:r>
      <w:r>
        <w:rPr>
          <w:rFonts w:ascii="Times New Roman" w:hAnsi="Times New Roman"/>
          <w:color w:val="0E101A"/>
          <w:vertAlign w:val="superscript"/>
        </w:rPr>
        <w:t>31</w:t>
      </w:r>
      <w:r>
        <w:rPr>
          <w:rFonts w:ascii="Times New Roman" w:hAnsi="Times New Roman"/>
          <w:color w:val="0E101A"/>
        </w:rPr>
        <w:t xml:space="preserve"> Metabolism adapts to environmental change, which creates a stimulus for differential gene activation, controlling discrete elements of metabolic pathways and inflammation. These changes create a cellular environment where two consecutive measurements of g</w:t>
      </w:r>
      <w:r>
        <w:rPr>
          <w:rFonts w:ascii="Times New Roman" w:hAnsi="Times New Roman"/>
          <w:color w:val="0E101A"/>
        </w:rPr>
        <w:t>ene activity and metabolism are rarely similar unless the initiating stressor (exposure to ribotoxins, for example) is constant. Here is the generally considered role for inflammation controlling gene activation, with metabolic changes driven by gene activ</w:t>
      </w:r>
      <w:r>
        <w:rPr>
          <w:rFonts w:ascii="Times New Roman" w:hAnsi="Times New Roman"/>
          <w:color w:val="0E101A"/>
        </w:rPr>
        <w:t>ation regulated by inflammation. An exciting finding is that medications associated with salutary health effects</w:t>
      </w:r>
      <w:r>
        <w:rPr>
          <w:rFonts w:ascii="Times New Roman" w:hAnsi="Times New Roman"/>
          <w:color w:val="0E101A"/>
          <w:vertAlign w:val="superscript"/>
        </w:rPr>
        <w:t>2, 4, 24</w:t>
      </w:r>
      <w:r>
        <w:rPr>
          <w:rFonts w:ascii="Times New Roman" w:hAnsi="Times New Roman"/>
          <w:color w:val="0E101A"/>
        </w:rPr>
        <w:t xml:space="preserve"> that change gene activation and inflammation will restore regulation of abnormalities of metabolism.</w:t>
      </w:r>
    </w:p>
    <w:p w14:paraId="17070FF2" w14:textId="77777777" w:rsidR="002F1423" w:rsidRDefault="002F1423">
      <w:pPr>
        <w:pStyle w:val="Default"/>
        <w:spacing w:before="0" w:line="480" w:lineRule="auto"/>
        <w:rPr>
          <w:rFonts w:ascii="Times New Roman" w:eastAsia="Times New Roman" w:hAnsi="Times New Roman" w:cs="Times New Roman"/>
          <w:color w:val="0E101A"/>
        </w:rPr>
      </w:pPr>
    </w:p>
    <w:p w14:paraId="04FB6C0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 prime example of gene activatio</w:t>
      </w:r>
      <w:r>
        <w:rPr>
          <w:rFonts w:ascii="Times New Roman" w:hAnsi="Times New Roman"/>
          <w:color w:val="0E101A"/>
        </w:rPr>
        <w:t>n, inflammation, and metabolic control comes from a review of the effect of the Randle cycle on glycolysis. As each pathway is mutually reciprocal, an increase in the Randle cycle decreases glycolysis in favor of fatty acid oxidation with its enriched sour</w:t>
      </w:r>
      <w:r>
        <w:rPr>
          <w:rFonts w:ascii="Times New Roman" w:hAnsi="Times New Roman"/>
          <w:color w:val="0E101A"/>
        </w:rPr>
        <w:t>ce of ATP production. Increasing fatty acid oxidation, as follows a rise in IRS 2, activating GLUT-1 and GLUT-4, will suppress glucose catabolism, but at the cost of increasing oxygen consumption: burning fatty acids costs oxygen. Citrate, part of the Kreb</w:t>
      </w:r>
      <w:r>
        <w:rPr>
          <w:rFonts w:ascii="Times New Roman" w:hAnsi="Times New Roman"/>
          <w:color w:val="0E101A"/>
        </w:rPr>
        <w:t xml:space="preserve">s cycle, will suppress phosphofructokinase, increasing glucose-6-phosphate, shunting the glycolysis pathway to increase glycogen storage. This part of the Randle cycle creates the </w:t>
      </w:r>
      <w:r>
        <w:rPr>
          <w:rFonts w:ascii="Times New Roman" w:hAnsi="Times New Roman"/>
          <w:color w:val="0E101A"/>
        </w:rPr>
        <w:t>“</w:t>
      </w:r>
      <w:r>
        <w:rPr>
          <w:rFonts w:ascii="Times New Roman" w:hAnsi="Times New Roman"/>
          <w:color w:val="0E101A"/>
        </w:rPr>
        <w:t>second wind,</w:t>
      </w:r>
      <w:r>
        <w:rPr>
          <w:rFonts w:ascii="Times New Roman" w:hAnsi="Times New Roman"/>
          <w:color w:val="0E101A"/>
        </w:rPr>
        <w:t>”</w:t>
      </w:r>
      <w:r>
        <w:rPr>
          <w:rFonts w:ascii="Times New Roman" w:hAnsi="Times New Roman"/>
          <w:color w:val="0E101A"/>
        </w:rPr>
        <w:t xml:space="preserve"> as well-trained athletes know, as increased energy (9.3 calor</w:t>
      </w:r>
      <w:r>
        <w:rPr>
          <w:rFonts w:ascii="Times New Roman" w:hAnsi="Times New Roman"/>
          <w:color w:val="0E101A"/>
        </w:rPr>
        <w:t>ies/gram) comes from fatty acid oxidation, compared to 3.4 calories/gram from glucose oxidation.</w:t>
      </w:r>
      <w:r>
        <w:rPr>
          <w:rFonts w:ascii="Times New Roman" w:hAnsi="Times New Roman"/>
          <w:color w:val="0E101A"/>
        </w:rPr>
        <w:t> </w:t>
      </w:r>
    </w:p>
    <w:p w14:paraId="3C6C8D28" w14:textId="77777777" w:rsidR="002F1423" w:rsidRDefault="002F1423">
      <w:pPr>
        <w:pStyle w:val="Default"/>
        <w:spacing w:before="0" w:line="480" w:lineRule="auto"/>
        <w:rPr>
          <w:rFonts w:ascii="Times New Roman" w:eastAsia="Times New Roman" w:hAnsi="Times New Roman" w:cs="Times New Roman"/>
          <w:color w:val="0E101A"/>
        </w:rPr>
      </w:pPr>
    </w:p>
    <w:p w14:paraId="2B7002F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Simply stated,</w:t>
      </w:r>
      <w:r>
        <w:rPr>
          <w:rFonts w:ascii="Times New Roman" w:hAnsi="Times New Roman"/>
          <w:b/>
          <w:bCs/>
          <w:color w:val="0E101A"/>
        </w:rPr>
        <w:t> </w:t>
      </w:r>
      <w:r>
        <w:rPr>
          <w:rFonts w:ascii="Times New Roman" w:hAnsi="Times New Roman"/>
          <w:color w:val="0E101A"/>
        </w:rPr>
        <w:t xml:space="preserve">direct fat-burn stores glycogen. Fatty acid oxidation, in turn, generates acetyl CoA, which blocks pyruvate dehydrogenase, </w:t>
      </w:r>
      <w:r>
        <w:rPr>
          <w:rFonts w:ascii="Times New Roman" w:hAnsi="Times New Roman"/>
          <w:color w:val="0E101A"/>
        </w:rPr>
        <w:t xml:space="preserve">preventing pyruvate from being converted into acetyl CoA. This step leads to aerobic glycolysis and production of lactate, especially if pyruvate is also blocked from entering mitochondria across the VDAC by inflammation-induced reduction of translocases. </w:t>
      </w:r>
      <w:r>
        <w:rPr>
          <w:rFonts w:ascii="Times New Roman" w:hAnsi="Times New Roman"/>
          <w:color w:val="0E101A"/>
        </w:rPr>
        <w:t>The combination of the development of hypoxemia (from fatty acid oxidation (FAO)) and aerobic glycolysis is the development of pulmonary hypertension.</w:t>
      </w:r>
      <w:r>
        <w:rPr>
          <w:rFonts w:ascii="Times New Roman" w:hAnsi="Times New Roman"/>
          <w:color w:val="0E101A"/>
          <w:vertAlign w:val="superscript"/>
        </w:rPr>
        <w:t>32</w:t>
      </w:r>
      <w:r>
        <w:rPr>
          <w:rFonts w:ascii="Times New Roman" w:hAnsi="Times New Roman"/>
          <w:color w:val="0E101A"/>
        </w:rPr>
        <w:t xml:space="preserve"> Blocking fatty acid oxidation in isolated myocytes of the right ventricle leads to increased pyruvate b</w:t>
      </w:r>
      <w:r>
        <w:rPr>
          <w:rFonts w:ascii="Times New Roman" w:hAnsi="Times New Roman"/>
          <w:color w:val="0E101A"/>
        </w:rPr>
        <w:t>urn and less oxygen consumption.</w:t>
      </w:r>
      <w:r>
        <w:rPr>
          <w:rFonts w:ascii="Times New Roman" w:hAnsi="Times New Roman"/>
          <w:color w:val="0E101A"/>
          <w:vertAlign w:val="superscript"/>
        </w:rPr>
        <w:t>32</w:t>
      </w:r>
      <w:r>
        <w:rPr>
          <w:rFonts w:ascii="Times New Roman" w:hAnsi="Times New Roman"/>
          <w:color w:val="0E101A"/>
        </w:rPr>
        <w:t> </w:t>
      </w:r>
      <w:r>
        <w:rPr>
          <w:rFonts w:ascii="Times New Roman" w:hAnsi="Times New Roman"/>
          <w:color w:val="0E101A"/>
        </w:rPr>
        <w:t>Meanwhile, the Krebs cycle is the site of the conversion of glutamine to glutamate, making available a free amino group crucial to glycosylation, discussed below.</w:t>
      </w:r>
    </w:p>
    <w:p w14:paraId="032F5405" w14:textId="77777777" w:rsidR="002F1423" w:rsidRDefault="002F1423">
      <w:pPr>
        <w:pStyle w:val="Default"/>
        <w:spacing w:before="0" w:line="480" w:lineRule="auto"/>
        <w:rPr>
          <w:rFonts w:ascii="Times New Roman" w:eastAsia="Times New Roman" w:hAnsi="Times New Roman" w:cs="Times New Roman"/>
          <w:color w:val="0E101A"/>
        </w:rPr>
      </w:pPr>
    </w:p>
    <w:p w14:paraId="49B6E875"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Finding these ten metabolic steps conserved by evolution </w:t>
      </w:r>
      <w:r>
        <w:rPr>
          <w:rFonts w:ascii="Times New Roman" w:hAnsi="Times New Roman"/>
          <w:color w:val="0E101A"/>
        </w:rPr>
        <w:t xml:space="preserve">seems surprising at first glance, yet nature works in predictable ways. The amount of enzymatic work to make just two net ATP seems excessive, but the production of so many building blocks has two important additional benefits: </w:t>
      </w:r>
    </w:p>
    <w:p w14:paraId="0900A388" w14:textId="77777777" w:rsidR="002F1423" w:rsidRDefault="00927F0D">
      <w:pPr>
        <w:pStyle w:val="Default"/>
        <w:numPr>
          <w:ilvl w:val="0"/>
          <w:numId w:val="6"/>
        </w:numPr>
        <w:spacing w:before="0" w:line="480" w:lineRule="auto"/>
        <w:rPr>
          <w:rFonts w:ascii="Times New Roman" w:hAnsi="Times New Roman"/>
        </w:rPr>
      </w:pPr>
      <w:r>
        <w:rPr>
          <w:rFonts w:ascii="Times New Roman" w:hAnsi="Times New Roman"/>
        </w:rPr>
        <w:t xml:space="preserve"> the manufacture of a reser</w:t>
      </w:r>
      <w:r>
        <w:rPr>
          <w:rFonts w:ascii="Times New Roman" w:hAnsi="Times New Roman"/>
        </w:rPr>
        <w:t xml:space="preserve">voir of compounds needed for cell proliferation; </w:t>
      </w:r>
    </w:p>
    <w:p w14:paraId="788E4669" w14:textId="77777777" w:rsidR="002F1423" w:rsidRDefault="00927F0D">
      <w:pPr>
        <w:pStyle w:val="Default"/>
        <w:numPr>
          <w:ilvl w:val="0"/>
          <w:numId w:val="2"/>
        </w:numPr>
        <w:spacing w:before="0" w:line="480" w:lineRule="auto"/>
        <w:rPr>
          <w:rFonts w:ascii="Times New Roman" w:hAnsi="Times New Roman"/>
        </w:rPr>
      </w:pPr>
      <w:r>
        <w:rPr>
          <w:rFonts w:ascii="Times New Roman" w:hAnsi="Times New Roman"/>
        </w:rPr>
        <w:t>and speed of ATP production.</w:t>
      </w:r>
    </w:p>
    <w:p w14:paraId="05301838" w14:textId="77777777" w:rsidR="002F1423" w:rsidRDefault="002F1423">
      <w:pPr>
        <w:pStyle w:val="Default"/>
        <w:spacing w:before="0" w:line="480" w:lineRule="auto"/>
        <w:rPr>
          <w:rFonts w:ascii="Times New Roman" w:eastAsia="Times New Roman" w:hAnsi="Times New Roman" w:cs="Times New Roman"/>
          <w:color w:val="0E101A"/>
        </w:rPr>
      </w:pPr>
    </w:p>
    <w:p w14:paraId="211DC96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 theme in metabolism, both in health and disease, is the dual role of glucose in </w:t>
      </w:r>
    </w:p>
    <w:p w14:paraId="0EC34816" w14:textId="77777777" w:rsidR="002F1423" w:rsidRDefault="00927F0D">
      <w:pPr>
        <w:pStyle w:val="Default"/>
        <w:numPr>
          <w:ilvl w:val="0"/>
          <w:numId w:val="7"/>
        </w:numPr>
        <w:spacing w:before="0" w:line="480" w:lineRule="auto"/>
        <w:rPr>
          <w:rFonts w:ascii="Times New Roman" w:hAnsi="Times New Roman"/>
        </w:rPr>
      </w:pPr>
      <w:r>
        <w:rPr>
          <w:rFonts w:ascii="Times New Roman" w:hAnsi="Times New Roman"/>
        </w:rPr>
        <w:t>energy conservation versus</w:t>
      </w:r>
    </w:p>
    <w:p w14:paraId="74B13028" w14:textId="77777777" w:rsidR="002F1423" w:rsidRDefault="00927F0D">
      <w:pPr>
        <w:pStyle w:val="Default"/>
        <w:numPr>
          <w:ilvl w:val="0"/>
          <w:numId w:val="2"/>
        </w:numPr>
        <w:spacing w:before="0" w:line="480" w:lineRule="auto"/>
        <w:rPr>
          <w:rFonts w:ascii="Times New Roman" w:hAnsi="Times New Roman"/>
        </w:rPr>
      </w:pPr>
      <w:r>
        <w:rPr>
          <w:rFonts w:ascii="Times New Roman" w:hAnsi="Times New Roman"/>
        </w:rPr>
        <w:t>energy expenditure to support cell proliferation.</w:t>
      </w:r>
    </w:p>
    <w:p w14:paraId="4C916943" w14:textId="77777777" w:rsidR="002F1423" w:rsidRDefault="002F1423">
      <w:pPr>
        <w:pStyle w:val="Default"/>
        <w:spacing w:before="0" w:line="480" w:lineRule="auto"/>
        <w:rPr>
          <w:rFonts w:ascii="Times New Roman" w:eastAsia="Times New Roman" w:hAnsi="Times New Roman" w:cs="Times New Roman"/>
          <w:color w:val="0E101A"/>
        </w:rPr>
      </w:pPr>
    </w:p>
    <w:p w14:paraId="01801D9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Glucose </w:t>
      </w:r>
      <w:r>
        <w:rPr>
          <w:rFonts w:ascii="Times New Roman" w:hAnsi="Times New Roman"/>
          <w:color w:val="0E101A"/>
        </w:rPr>
        <w:t xml:space="preserve">remains the coin of the metabolic realm as it leads to the production of pyruvate that can be further processed by an enzyme, lactate dehydrogenase (LDH), to generate lactic acid (lactate). In turn, transport molecules move lactate out of the cell. We may </w:t>
      </w:r>
      <w:r>
        <w:rPr>
          <w:rFonts w:ascii="Times New Roman" w:hAnsi="Times New Roman"/>
          <w:color w:val="0E101A"/>
        </w:rPr>
        <w:t>suspect excessive amounts of lactate production by seeing a widened anion gap in peripheral blood. However, even this seemingly simple calculation can be complicated by further metabolism of lactate in capillary beds adjacent to where it was produced, with</w:t>
      </w:r>
      <w:r>
        <w:rPr>
          <w:rFonts w:ascii="Times New Roman" w:hAnsi="Times New Roman"/>
          <w:color w:val="0E101A"/>
        </w:rPr>
        <w:t xml:space="preserve"> reconversion to pyruvate, reducing the anion gap.</w:t>
      </w:r>
      <w:r>
        <w:rPr>
          <w:rFonts w:ascii="Times New Roman" w:hAnsi="Times New Roman"/>
          <w:color w:val="0E101A"/>
        </w:rPr>
        <w:t> </w:t>
      </w:r>
    </w:p>
    <w:p w14:paraId="2AFAD835" w14:textId="77777777" w:rsidR="002F1423" w:rsidRDefault="002F1423">
      <w:pPr>
        <w:pStyle w:val="Default"/>
        <w:spacing w:before="0" w:line="480" w:lineRule="auto"/>
        <w:rPr>
          <w:rFonts w:ascii="Times New Roman" w:eastAsia="Times New Roman" w:hAnsi="Times New Roman" w:cs="Times New Roman"/>
          <w:color w:val="0E101A"/>
        </w:rPr>
      </w:pPr>
    </w:p>
    <w:p w14:paraId="74453A4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Pyruvate is the cellular metabolic treasure; it plays a dominant role in cell proliferation versus cellular conservation of energy primarily based on where pyruvate further metabolizes. Mitochondrial pro</w:t>
      </w:r>
      <w:r>
        <w:rPr>
          <w:rFonts w:ascii="Times New Roman" w:hAnsi="Times New Roman"/>
          <w:color w:val="0E101A"/>
        </w:rPr>
        <w:t>duction of ATP depends on the delivery of pyruvate into the mitochondrial matrix. If delivery is compromised, cytosolic metabolism will be the default site for pyruvate metabolism. If there is too much pyruvate in the cytosol or too little gets consumed, l</w:t>
      </w:r>
      <w:r>
        <w:rPr>
          <w:rFonts w:ascii="Times New Roman" w:hAnsi="Times New Roman"/>
          <w:color w:val="0E101A"/>
        </w:rPr>
        <w:t>ook for suppression of GAPDH gene(s) to reduce pyruvate production, possibly contributing to insulin resistance.</w:t>
      </w:r>
    </w:p>
    <w:p w14:paraId="1ED89C28"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76EB5FCD"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Some rapidly dividing cells will use the conversion of pyruvate to lactate as its primary source of ATP through </w:t>
      </w:r>
      <w:r>
        <w:rPr>
          <w:rFonts w:ascii="Times New Roman" w:hAnsi="Times New Roman"/>
          <w:color w:val="0E101A"/>
        </w:rPr>
        <w:t>“</w:t>
      </w:r>
      <w:r>
        <w:rPr>
          <w:rFonts w:ascii="Times New Roman" w:hAnsi="Times New Roman"/>
          <w:color w:val="0E101A"/>
        </w:rPr>
        <w:t>aerobic glycolysis,</w:t>
      </w:r>
      <w:r>
        <w:rPr>
          <w:rFonts w:ascii="Times New Roman" w:hAnsi="Times New Roman"/>
          <w:color w:val="0E101A"/>
        </w:rPr>
        <w:t>”</w:t>
      </w:r>
      <w:r>
        <w:rPr>
          <w:rFonts w:ascii="Times New Roman" w:hAnsi="Times New Roman"/>
          <w:color w:val="0E101A"/>
        </w:rPr>
        <w:t xml:space="preserve"> also ca</w:t>
      </w:r>
      <w:r>
        <w:rPr>
          <w:rFonts w:ascii="Times New Roman" w:hAnsi="Times New Roman"/>
          <w:color w:val="0E101A"/>
        </w:rPr>
        <w:t>lled the Warburg Effect.</w:t>
      </w:r>
      <w:r>
        <w:rPr>
          <w:rFonts w:ascii="Times New Roman" w:hAnsi="Times New Roman"/>
          <w:color w:val="0E101A"/>
          <w:vertAlign w:val="superscript"/>
        </w:rPr>
        <w:t>33, 34</w:t>
      </w:r>
      <w:r>
        <w:rPr>
          <w:rFonts w:ascii="Times New Roman" w:hAnsi="Times New Roman"/>
          <w:color w:val="0E101A"/>
        </w:rPr>
        <w:t xml:space="preserve"> At first glance, this low yield conversion of pyruvate to make ATP, compared to what Krebs cycle and ETC pathways in the mitochondrial matrix would bring, seems dysfunctional. What benefit does a rapidly dividing cell glean f</w:t>
      </w:r>
      <w:r>
        <w:rPr>
          <w:rFonts w:ascii="Times New Roman" w:hAnsi="Times New Roman"/>
          <w:color w:val="0E101A"/>
        </w:rPr>
        <w:t xml:space="preserve">rom </w:t>
      </w:r>
      <w:r>
        <w:rPr>
          <w:rFonts w:ascii="Times New Roman" w:hAnsi="Times New Roman"/>
          <w:color w:val="0E101A"/>
        </w:rPr>
        <w:t>“</w:t>
      </w:r>
      <w:r>
        <w:rPr>
          <w:rFonts w:ascii="Times New Roman" w:hAnsi="Times New Roman"/>
          <w:color w:val="0E101A"/>
        </w:rPr>
        <w:t>wasting</w:t>
      </w:r>
      <w:r>
        <w:rPr>
          <w:rFonts w:ascii="Times New Roman" w:hAnsi="Times New Roman"/>
          <w:color w:val="0E101A"/>
        </w:rPr>
        <w:t>”</w:t>
      </w:r>
      <w:r>
        <w:rPr>
          <w:rFonts w:ascii="Times New Roman" w:hAnsi="Times New Roman"/>
          <w:color w:val="0E101A"/>
        </w:rPr>
        <w:t xml:space="preserve"> the ability to create molecules used for energy? Cancer cells commonly use this so-called </w:t>
      </w:r>
      <w:r>
        <w:rPr>
          <w:rFonts w:ascii="Times New Roman" w:hAnsi="Times New Roman"/>
          <w:color w:val="0E101A"/>
        </w:rPr>
        <w:t>“</w:t>
      </w:r>
      <w:r>
        <w:rPr>
          <w:rFonts w:ascii="Times New Roman" w:hAnsi="Times New Roman"/>
          <w:color w:val="0E101A"/>
        </w:rPr>
        <w:t>Warburg physiology</w:t>
      </w:r>
      <w:r>
        <w:rPr>
          <w:rFonts w:ascii="Times New Roman" w:hAnsi="Times New Roman"/>
          <w:color w:val="0E101A"/>
        </w:rPr>
        <w:t>”</w:t>
      </w:r>
      <w:r>
        <w:rPr>
          <w:rFonts w:ascii="Times New Roman" w:hAnsi="Times New Roman"/>
          <w:color w:val="0E101A"/>
        </w:rPr>
        <w:t xml:space="preserve"> to produce lactate and export it from the dividing cell, creating an adverse microclimate that serves as a defense to prevent T-cells from attacking growing cancer cells. Cells at the surface of the developing tumor use the reverse of cellular fermentatio</w:t>
      </w:r>
      <w:r>
        <w:rPr>
          <w:rFonts w:ascii="Times New Roman" w:hAnsi="Times New Roman"/>
          <w:color w:val="0E101A"/>
        </w:rPr>
        <w:t>n by reconverting lactate back to pyruvate as a source of ATP.</w:t>
      </w:r>
      <w:r>
        <w:rPr>
          <w:rFonts w:ascii="Times New Roman" w:hAnsi="Times New Roman"/>
          <w:color w:val="0E101A"/>
          <w:vertAlign w:val="superscript"/>
        </w:rPr>
        <w:t>34</w:t>
      </w:r>
    </w:p>
    <w:p w14:paraId="3EC7414C" w14:textId="77777777" w:rsidR="002F1423" w:rsidRDefault="002F1423">
      <w:pPr>
        <w:pStyle w:val="Default"/>
        <w:spacing w:before="0" w:line="480" w:lineRule="auto"/>
        <w:rPr>
          <w:rFonts w:ascii="Times New Roman" w:eastAsia="Times New Roman" w:hAnsi="Times New Roman" w:cs="Times New Roman"/>
          <w:color w:val="0E101A"/>
        </w:rPr>
      </w:pPr>
    </w:p>
    <w:p w14:paraId="7D20C3F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 CIRS, we worry about the Warburg Effect because it underlies the pathologic development of clinically significant metabolic acidosis and pulmonary hypertension;</w:t>
      </w:r>
      <w:r>
        <w:rPr>
          <w:rFonts w:ascii="Times New Roman" w:hAnsi="Times New Roman"/>
          <w:color w:val="0E101A"/>
          <w:vertAlign w:val="superscript"/>
        </w:rPr>
        <w:t>35</w:t>
      </w:r>
      <w:r>
        <w:rPr>
          <w:rFonts w:ascii="Times New Roman" w:hAnsi="Times New Roman"/>
          <w:color w:val="0E101A"/>
        </w:rPr>
        <w:t xml:space="preserve"> it underlies abnormaliti</w:t>
      </w:r>
      <w:r>
        <w:rPr>
          <w:rFonts w:ascii="Times New Roman" w:hAnsi="Times New Roman"/>
          <w:color w:val="0E101A"/>
        </w:rPr>
        <w:t>es, including metabolism in branched-chain glycans, that will lead to insulin resistance. Further, we also see multiple examples of injury to neuronal tissue associated with the Warburg Effect, both peripherally, creating peripheral neuropathy, and central</w:t>
      </w:r>
      <w:r>
        <w:rPr>
          <w:rFonts w:ascii="Times New Roman" w:hAnsi="Times New Roman"/>
          <w:color w:val="0E101A"/>
        </w:rPr>
        <w:t>ly, possibly contributing to dementing illnesses.</w:t>
      </w:r>
    </w:p>
    <w:p w14:paraId="6D0AE63F" w14:textId="77777777" w:rsidR="002F1423" w:rsidRDefault="002F1423">
      <w:pPr>
        <w:pStyle w:val="Default"/>
        <w:spacing w:before="0" w:line="480" w:lineRule="auto"/>
        <w:rPr>
          <w:rFonts w:ascii="Times New Roman" w:eastAsia="Times New Roman" w:hAnsi="Times New Roman" w:cs="Times New Roman"/>
          <w:color w:val="0E101A"/>
        </w:rPr>
      </w:pPr>
    </w:p>
    <w:p w14:paraId="562FE11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marker for the Warburg Effect that can harm CIRS patients, the anion gap, which is readily calculated but not so readily confirmed, is due to the fermentation of pyruvate to make lactate. Excess lactic</w:t>
      </w:r>
      <w:r>
        <w:rPr>
          <w:rFonts w:ascii="Times New Roman" w:hAnsi="Times New Roman"/>
          <w:color w:val="0E101A"/>
        </w:rPr>
        <w:t xml:space="preserve"> acid adds to or widens the normal anion gap. To calculate the anion gap, add values of sodium (Na+) to those of potassium (K+), and from that sum, subtract the sum of CO2 and chloride (Cl-). If the number is 10-12, that is a normal anion gap. However, bey</w:t>
      </w:r>
      <w:r>
        <w:rPr>
          <w:rFonts w:ascii="Times New Roman" w:hAnsi="Times New Roman"/>
          <w:color w:val="0E101A"/>
        </w:rPr>
        <w:t>ond a gap of 14 or 15, we become concerned regarding the excessive presence of anionic compounds that contribute to the widened anion gap. The body uses lactic acid and bicarbonate to help regulate pH tightly; metabolic acidosis is common in multiple disea</w:t>
      </w:r>
      <w:r>
        <w:rPr>
          <w:rFonts w:ascii="Times New Roman" w:hAnsi="Times New Roman"/>
          <w:color w:val="0E101A"/>
        </w:rPr>
        <w:t>se states, including PICS and CIRS, diabetes, and renal failure.</w:t>
      </w:r>
      <w:r>
        <w:rPr>
          <w:rFonts w:ascii="Times New Roman" w:hAnsi="Times New Roman"/>
          <w:color w:val="0E101A"/>
        </w:rPr>
        <w:t>  </w:t>
      </w:r>
    </w:p>
    <w:p w14:paraId="05DC1AD6" w14:textId="77777777" w:rsidR="002F1423" w:rsidRDefault="002F1423">
      <w:pPr>
        <w:pStyle w:val="Default"/>
        <w:spacing w:before="0" w:line="480" w:lineRule="auto"/>
        <w:rPr>
          <w:rFonts w:ascii="Times New Roman" w:eastAsia="Times New Roman" w:hAnsi="Times New Roman" w:cs="Times New Roman"/>
          <w:color w:val="0E101A"/>
        </w:rPr>
      </w:pPr>
    </w:p>
    <w:p w14:paraId="67FE3C89"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lang w:val="da-DK"/>
        </w:rPr>
        <w:t>4.2 Voltage-Dependent Anion Channels</w:t>
      </w:r>
      <w:r>
        <w:rPr>
          <w:rFonts w:ascii="Times New Roman" w:hAnsi="Times New Roman"/>
          <w:b/>
          <w:bCs/>
          <w:color w:val="0E101A"/>
        </w:rPr>
        <w:t xml:space="preserve"> (VDAC) and P</w:t>
      </w:r>
      <w:r>
        <w:rPr>
          <w:rFonts w:ascii="Times New Roman" w:hAnsi="Times New Roman"/>
          <w:b/>
          <w:bCs/>
          <w:color w:val="0E101A"/>
        </w:rPr>
        <w:t>yruvate</w:t>
      </w:r>
      <w:r>
        <w:rPr>
          <w:rFonts w:ascii="Times New Roman" w:hAnsi="Times New Roman"/>
          <w:b/>
          <w:bCs/>
          <w:color w:val="0E101A"/>
        </w:rPr>
        <w:t>              </w:t>
      </w:r>
    </w:p>
    <w:p w14:paraId="1F6547D6" w14:textId="77777777" w:rsidR="002F1423" w:rsidRDefault="002F1423">
      <w:pPr>
        <w:pStyle w:val="Default"/>
        <w:spacing w:before="0" w:line="480" w:lineRule="auto"/>
        <w:rPr>
          <w:rFonts w:ascii="Times New Roman" w:eastAsia="Times New Roman" w:hAnsi="Times New Roman" w:cs="Times New Roman"/>
          <w:color w:val="0E101A"/>
        </w:rPr>
      </w:pPr>
    </w:p>
    <w:p w14:paraId="0B819E15" w14:textId="77777777" w:rsidR="002F1423" w:rsidRDefault="00927F0D">
      <w:pPr>
        <w:pStyle w:val="Default"/>
        <w:spacing w:before="0" w:line="480" w:lineRule="auto"/>
        <w:rPr>
          <w:rFonts w:ascii="Times New Roman" w:eastAsia="Times New Roman" w:hAnsi="Times New Roman" w:cs="Times New Roman"/>
          <w:color w:val="FF2600"/>
        </w:rPr>
      </w:pPr>
      <w:r>
        <w:rPr>
          <w:rFonts w:ascii="Times New Roman" w:hAnsi="Times New Roman"/>
          <w:color w:val="0E101A"/>
        </w:rPr>
        <w:t xml:space="preserve">If pyruvate does not convert to lactate, we expect pyruvate to cross into the mitochondrial matrix for fuel </w:t>
      </w:r>
      <w:r>
        <w:rPr>
          <w:rFonts w:ascii="Times New Roman" w:hAnsi="Times New Roman"/>
          <w:color w:val="0E101A"/>
        </w:rPr>
        <w:t>purposes. Unfortunately, there is a channel, 2-3 nm in diameter,</w:t>
      </w:r>
      <w:r>
        <w:rPr>
          <w:rFonts w:ascii="Times New Roman" w:hAnsi="Times New Roman"/>
          <w:color w:val="0E101A"/>
          <w:vertAlign w:val="superscript"/>
        </w:rPr>
        <w:t>36</w:t>
      </w:r>
      <w:r>
        <w:rPr>
          <w:rFonts w:ascii="Times New Roman" w:hAnsi="Times New Roman"/>
          <w:color w:val="0E101A"/>
        </w:rPr>
        <w:t xml:space="preserve"> which creates a pore in the outer membrane of the mitochondria that is dependent upon the normal presence of translocases to function. As the term</w:t>
      </w:r>
      <w:r>
        <w:rPr>
          <w:rFonts w:ascii="Times New Roman" w:hAnsi="Times New Roman"/>
          <w:color w:val="0E101A"/>
          <w:vertAlign w:val="superscript"/>
        </w:rPr>
        <w:t>37</w:t>
      </w:r>
      <w:r>
        <w:rPr>
          <w:rFonts w:ascii="Times New Roman" w:hAnsi="Times New Roman"/>
          <w:color w:val="0E101A"/>
        </w:rPr>
        <w:t xml:space="preserve"> suggests, translocases have a role in moving protein compounds from one cellular environment to another.</w:t>
      </w:r>
      <w:r>
        <w:rPr>
          <w:rFonts w:ascii="Times New Roman" w:hAnsi="Times New Roman"/>
          <w:b/>
          <w:bCs/>
          <w:color w:val="0E101A"/>
        </w:rPr>
        <w:t> </w:t>
      </w:r>
      <w:r>
        <w:rPr>
          <w:rFonts w:ascii="Times New Roman" w:hAnsi="Times New Roman"/>
          <w:color w:val="0E101A"/>
        </w:rPr>
        <w:t>I</w:t>
      </w:r>
      <w:r>
        <w:rPr>
          <w:rFonts w:ascii="Times New Roman" w:hAnsi="Times New Roman"/>
          <w:color w:val="0E101A"/>
        </w:rPr>
        <w:t>n this case, for mitochondrial concerns, the pore will permit the entry of solutes, ions, ADP, and pyruvate through the outer membrane to reach the intermembranous space. ATP will exit the pore after the electron transport chain produces it in the matrix o</w:t>
      </w:r>
      <w:r>
        <w:rPr>
          <w:rFonts w:ascii="Times New Roman" w:hAnsi="Times New Roman"/>
          <w:color w:val="0E101A"/>
        </w:rPr>
        <w:t>f the mitochondria and possibly reactive oxygen species (ROS). This pore, however, is closed b</w:t>
      </w:r>
      <w:r>
        <w:rPr>
          <w:rFonts w:ascii="Times New Roman" w:hAnsi="Times New Roman"/>
        </w:rPr>
        <w:t>y</w:t>
      </w:r>
      <w:r>
        <w:rPr>
          <w:rFonts w:ascii="Times New Roman" w:hAnsi="Times New Roman"/>
          <w:color w:val="FF2600"/>
        </w:rPr>
        <w:t xml:space="preserve"> </w:t>
      </w:r>
    </w:p>
    <w:p w14:paraId="069A4E18" w14:textId="77777777" w:rsidR="002F1423" w:rsidRDefault="00927F0D">
      <w:pPr>
        <w:pStyle w:val="Default"/>
        <w:numPr>
          <w:ilvl w:val="0"/>
          <w:numId w:val="8"/>
        </w:numPr>
        <w:spacing w:before="0" w:line="480" w:lineRule="auto"/>
        <w:rPr>
          <w:rFonts w:ascii="Times New Roman" w:hAnsi="Times New Roman"/>
        </w:rPr>
      </w:pPr>
      <w:r>
        <w:rPr>
          <w:rFonts w:ascii="Times New Roman" w:hAnsi="Times New Roman"/>
        </w:rPr>
        <w:t xml:space="preserve">the absence of translocases, commonly seen in MHM, as discussed above but also </w:t>
      </w:r>
    </w:p>
    <w:p w14:paraId="68B2A69D"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rPr>
        <w:t>through the activity of products made by Streptomyces and other</w:t>
      </w:r>
      <w:r>
        <w:rPr>
          <w:rFonts w:ascii="Times New Roman" w:hAnsi="Times New Roman"/>
          <w:color w:val="FF2600"/>
        </w:rPr>
        <w:t xml:space="preserve"> </w:t>
      </w:r>
      <w:r>
        <w:rPr>
          <w:rFonts w:ascii="Times New Roman" w:hAnsi="Times New Roman"/>
          <w:color w:val="0E101A"/>
        </w:rPr>
        <w:t>actinomycetes,</w:t>
      </w:r>
      <w:r>
        <w:rPr>
          <w:rFonts w:ascii="Times New Roman" w:hAnsi="Times New Roman"/>
          <w:color w:val="0E101A"/>
          <w:vertAlign w:val="superscript"/>
        </w:rPr>
        <w:t>38</w:t>
      </w:r>
      <w:r>
        <w:rPr>
          <w:rFonts w:ascii="Times New Roman" w:hAnsi="Times New Roman"/>
          <w:color w:val="0E101A"/>
        </w:rPr>
        <w:t xml:space="preserve"> especially valinomycin; it is unknown if another actinomycetes product, piericidin A, an irreversible inhibitor of Complex I, also uses the VDAC.</w:t>
      </w:r>
      <w:r>
        <w:rPr>
          <w:rFonts w:ascii="Times New Roman" w:hAnsi="Times New Roman"/>
          <w:color w:val="0E101A"/>
        </w:rPr>
        <w:t> </w:t>
      </w:r>
    </w:p>
    <w:p w14:paraId="28AEC235" w14:textId="77777777" w:rsidR="002F1423" w:rsidRDefault="002F1423">
      <w:pPr>
        <w:pStyle w:val="Default"/>
        <w:spacing w:before="0" w:line="480" w:lineRule="auto"/>
        <w:rPr>
          <w:rFonts w:ascii="Times New Roman" w:eastAsia="Times New Roman" w:hAnsi="Times New Roman" w:cs="Times New Roman"/>
          <w:color w:val="0E101A"/>
        </w:rPr>
      </w:pPr>
    </w:p>
    <w:p w14:paraId="535D37A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rPr>
        <w:t>Other factors closing the VDAC are tubulins,</w:t>
      </w:r>
      <w:r>
        <w:rPr>
          <w:rFonts w:ascii="Times New Roman" w:hAnsi="Times New Roman"/>
          <w:vertAlign w:val="superscript"/>
        </w:rPr>
        <w:t>39</w:t>
      </w:r>
      <w:r>
        <w:rPr>
          <w:rFonts w:ascii="Times New Roman" w:hAnsi="Times New Roman"/>
        </w:rPr>
        <w:t xml:space="preserve"> hexokinase</w:t>
      </w:r>
      <w:r>
        <w:rPr>
          <w:rFonts w:ascii="Times New Roman" w:hAnsi="Times New Roman"/>
        </w:rPr>
        <w:t>,</w:t>
      </w:r>
      <w:r>
        <w:rPr>
          <w:rFonts w:ascii="Times New Roman" w:hAnsi="Times New Roman"/>
          <w:vertAlign w:val="superscript"/>
        </w:rPr>
        <w:t>40</w:t>
      </w:r>
      <w:r>
        <w:rPr>
          <w:rFonts w:ascii="Times New Roman" w:hAnsi="Times New Roman"/>
        </w:rPr>
        <w:t xml:space="preserve"> and itraconazole.</w:t>
      </w:r>
      <w:r>
        <w:rPr>
          <w:rFonts w:ascii="Times New Roman" w:hAnsi="Times New Roman"/>
          <w:vertAlign w:val="superscript"/>
        </w:rPr>
        <w:t xml:space="preserve">41, 42 </w:t>
      </w:r>
      <w:r>
        <w:rPr>
          <w:rFonts w:ascii="Times New Roman" w:hAnsi="Times New Roman"/>
          <w:color w:val="0E101A"/>
        </w:rPr>
        <w:t>Actinomycetes metabolites can shut down flow in both directions across the pore, discharging the electrical gradient that maintains the opening.</w:t>
      </w:r>
      <w:r>
        <w:rPr>
          <w:rFonts w:ascii="Times New Roman" w:hAnsi="Times New Roman"/>
          <w:color w:val="0E101A"/>
          <w:vertAlign w:val="superscript"/>
        </w:rPr>
        <w:t xml:space="preserve">42 </w:t>
      </w:r>
      <w:r>
        <w:rPr>
          <w:rFonts w:ascii="Times New Roman" w:hAnsi="Times New Roman"/>
          <w:color w:val="0E101A"/>
        </w:rPr>
        <w:t xml:space="preserve">Azole antifungal medications, unfortunately, are widely used by some </w:t>
      </w:r>
      <w:r>
        <w:rPr>
          <w:rFonts w:ascii="Times New Roman" w:hAnsi="Times New Roman"/>
          <w:color w:val="0E101A"/>
        </w:rPr>
        <w:t>involved in the management of illness acquired following exposure to the interior environment of WDB. This inappropriate use of azoles creates proliferative physiology; we must recognize it for its significant contribution to adverse metabolic outcomes, es</w:t>
      </w:r>
      <w:r>
        <w:rPr>
          <w:rFonts w:ascii="Times New Roman" w:hAnsi="Times New Roman"/>
          <w:color w:val="0E101A"/>
        </w:rPr>
        <w:t>pecially grey matter nuclear atrophy.</w:t>
      </w:r>
      <w:r>
        <w:rPr>
          <w:rFonts w:ascii="Times New Roman" w:hAnsi="Times New Roman"/>
          <w:color w:val="0E101A"/>
        </w:rPr>
        <w:t> </w:t>
      </w:r>
      <w:r>
        <w:rPr>
          <w:rFonts w:ascii="Times New Roman" w:hAnsi="Times New Roman"/>
          <w:color w:val="0E101A"/>
        </w:rPr>
        <w:t>Elevated amounts of beta-tubulin are also associated with excessive and premature grey matter nuclear atrophy and the loss of cortical grey in CIRS patients.</w:t>
      </w:r>
      <w:r>
        <w:rPr>
          <w:rFonts w:ascii="Times New Roman" w:hAnsi="Times New Roman"/>
          <w:color w:val="0E101A"/>
          <w:vertAlign w:val="superscript"/>
        </w:rPr>
        <w:t>43</w:t>
      </w:r>
      <w:r>
        <w:rPr>
          <w:rFonts w:ascii="Times New Roman" w:hAnsi="Times New Roman"/>
          <w:color w:val="0E101A"/>
        </w:rPr>
        <w:t> </w:t>
      </w:r>
    </w:p>
    <w:p w14:paraId="3A2DF28A"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FBE7A4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If pyruvate can cross the outer membrane of the mitocho</w:t>
      </w:r>
      <w:r>
        <w:rPr>
          <w:rFonts w:ascii="Times New Roman" w:hAnsi="Times New Roman"/>
          <w:color w:val="0E101A"/>
        </w:rPr>
        <w:t>ndria, there is a mitochondria pyruvate transporter that will move it across the inner mitochondrial membrane into the matrix. There, pyruvate has several possible fates. First, pyruvate converts by pyruvate dehydrogenase (PDH) to make acetyl-CoA. Acetyl-C</w:t>
      </w:r>
      <w:r>
        <w:rPr>
          <w:rFonts w:ascii="Times New Roman" w:hAnsi="Times New Roman"/>
          <w:color w:val="0E101A"/>
        </w:rPr>
        <w:t>oA is also produced from stored fatty acids to make oxaloacetic acid (OAA). In the Krebs cycle, OAA will join acetyl-CoA to make citrate. Citrate and OAA are major components of the cycle that operate in the mitochondria matrix to regulate energy metabolis</w:t>
      </w:r>
      <w:r>
        <w:rPr>
          <w:rFonts w:ascii="Times New Roman" w:hAnsi="Times New Roman"/>
          <w:color w:val="0E101A"/>
        </w:rPr>
        <w:t xml:space="preserve">m. Citrate also has a </w:t>
      </w:r>
      <w:r>
        <w:rPr>
          <w:rFonts w:ascii="Times New Roman" w:hAnsi="Times New Roman"/>
          <w:color w:val="0E101A"/>
        </w:rPr>
        <w:t>“</w:t>
      </w:r>
      <w:r>
        <w:rPr>
          <w:rFonts w:ascii="Times New Roman" w:hAnsi="Times New Roman"/>
          <w:color w:val="0E101A"/>
        </w:rPr>
        <w:t>shuttle</w:t>
      </w:r>
      <w:r>
        <w:rPr>
          <w:rFonts w:ascii="Times New Roman" w:hAnsi="Times New Roman"/>
          <w:color w:val="0E101A"/>
        </w:rPr>
        <w:t>”</w:t>
      </w:r>
      <w:r>
        <w:rPr>
          <w:rFonts w:ascii="Times New Roman" w:hAnsi="Times New Roman"/>
          <w:color w:val="0E101A"/>
        </w:rPr>
        <w:t xml:space="preserve"> in which it can be shunted back through the VDAC to be hydrolyzed to remake acetyl-CoA in the cytosol compartment, leading to fatty acid production in the cytosol. Conversely, citrate can be further metabolized in the matrix</w:t>
      </w:r>
      <w:r>
        <w:rPr>
          <w:rFonts w:ascii="Times New Roman" w:hAnsi="Times New Roman"/>
          <w:color w:val="0E101A"/>
        </w:rPr>
        <w:t xml:space="preserve"> to make alpha-ketoglutarate in combination with glutamine after an amino acid is split off from glutamine by glutaminolysis. Alpha-ketoglutarate can metabolize to make succinate, regenerating OAA, repeating the cycle.</w:t>
      </w:r>
      <w:r>
        <w:rPr>
          <w:rFonts w:ascii="Times New Roman" w:hAnsi="Times New Roman"/>
          <w:color w:val="0E101A"/>
        </w:rPr>
        <w:t> </w:t>
      </w:r>
    </w:p>
    <w:p w14:paraId="196640C7" w14:textId="77777777" w:rsidR="002F1423" w:rsidRDefault="002F1423">
      <w:pPr>
        <w:pStyle w:val="Default"/>
        <w:spacing w:before="0" w:line="480" w:lineRule="auto"/>
        <w:rPr>
          <w:rFonts w:ascii="Times New Roman" w:eastAsia="Times New Roman" w:hAnsi="Times New Roman" w:cs="Times New Roman"/>
          <w:color w:val="0E101A"/>
        </w:rPr>
      </w:pPr>
    </w:p>
    <w:p w14:paraId="02CFC83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Alternatively, alpha-ketoglutarate can enter the electron transport chain for further metabolism. </w:t>
      </w:r>
      <w:r>
        <w:rPr>
          <w:rFonts w:ascii="Times New Roman" w:hAnsi="Times New Roman"/>
        </w:rPr>
        <w:t>Here the role of NADH and FADH2 is vitally important. As NADH breaks down into NAD, it releases a hydrogen ion, a proton, which helps balance the electrons tr</w:t>
      </w:r>
      <w:r>
        <w:rPr>
          <w:rFonts w:ascii="Times New Roman" w:hAnsi="Times New Roman"/>
        </w:rPr>
        <w:t>ansported in the chain to make ATP.</w:t>
      </w:r>
      <w:r>
        <w:rPr>
          <w:rFonts w:ascii="Times New Roman" w:hAnsi="Times New Roman"/>
          <w:color w:val="B51700"/>
        </w:rPr>
        <w:t xml:space="preserve"> </w:t>
      </w:r>
      <w:r>
        <w:rPr>
          <w:rFonts w:ascii="Times New Roman" w:hAnsi="Times New Roman"/>
          <w:color w:val="0E101A"/>
        </w:rPr>
        <w:t>Ideally, glycolysis will generate two molecules of pyruvate, which are then shunted through the Krebs cycle to the ETC to generate 36 ATPs.</w:t>
      </w:r>
      <w:r>
        <w:rPr>
          <w:rFonts w:ascii="Times New Roman" w:hAnsi="Times New Roman"/>
          <w:color w:val="0E101A"/>
        </w:rPr>
        <w:t> </w:t>
      </w:r>
    </w:p>
    <w:p w14:paraId="7841C3F8" w14:textId="77777777" w:rsidR="002F1423" w:rsidRDefault="002F1423">
      <w:pPr>
        <w:pStyle w:val="Default"/>
        <w:spacing w:before="0" w:line="480" w:lineRule="auto"/>
        <w:rPr>
          <w:rFonts w:ascii="Times New Roman" w:eastAsia="Times New Roman" w:hAnsi="Times New Roman" w:cs="Times New Roman"/>
          <w:color w:val="0E101A"/>
        </w:rPr>
      </w:pPr>
    </w:p>
    <w:p w14:paraId="0E07EBF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rPr>
        <w:t xml:space="preserve">This process is rarely entirely successful as the free electrons in the </w:t>
      </w:r>
      <w:r>
        <w:rPr>
          <w:rFonts w:ascii="Times New Roman" w:hAnsi="Times New Roman"/>
        </w:rPr>
        <w:t>electron transport chain can divert into making superoxides (ROS) that can damage mitochondria by a variant of apoptosis called ferroptosis.</w:t>
      </w:r>
      <w:r>
        <w:rPr>
          <w:rFonts w:ascii="Times New Roman" w:hAnsi="Times New Roman"/>
          <w:vertAlign w:val="superscript"/>
        </w:rPr>
        <w:t>44</w:t>
      </w:r>
      <w:r>
        <w:rPr>
          <w:rFonts w:ascii="Times New Roman" w:hAnsi="Times New Roman"/>
          <w:color w:val="B51700"/>
        </w:rPr>
        <w:t xml:space="preserve"> </w:t>
      </w:r>
      <w:r>
        <w:rPr>
          <w:rFonts w:ascii="Times New Roman" w:hAnsi="Times New Roman"/>
          <w:color w:val="0E101A"/>
        </w:rPr>
        <w:t xml:space="preserve">It makes sense that the mitochondria </w:t>
      </w:r>
      <w:r>
        <w:rPr>
          <w:rFonts w:ascii="Times New Roman" w:hAnsi="Times New Roman"/>
          <w:color w:val="0E101A"/>
        </w:rPr>
        <w:t>“</w:t>
      </w:r>
      <w:r>
        <w:rPr>
          <w:rFonts w:ascii="Times New Roman" w:hAnsi="Times New Roman"/>
          <w:color w:val="0E101A"/>
        </w:rPr>
        <w:t>want</w:t>
      </w:r>
      <w:r>
        <w:rPr>
          <w:rFonts w:ascii="Times New Roman" w:hAnsi="Times New Roman"/>
          <w:color w:val="0E101A"/>
        </w:rPr>
        <w:t>”</w:t>
      </w:r>
      <w:r>
        <w:rPr>
          <w:rFonts w:ascii="Times New Roman" w:hAnsi="Times New Roman"/>
          <w:color w:val="0E101A"/>
        </w:rPr>
        <w:t xml:space="preserve"> to avoid programmed death from ROS. One mechanism mitochondria possibly use to stay functional is not to let pyruvate cross the outer membrane initially, and focus energy production by aerobic glycolysis, thereby avoiding ROS formation.</w:t>
      </w:r>
      <w:r>
        <w:rPr>
          <w:rFonts w:ascii="Times New Roman" w:hAnsi="Times New Roman"/>
          <w:color w:val="0E101A"/>
        </w:rPr>
        <w:t> </w:t>
      </w:r>
    </w:p>
    <w:p w14:paraId="60F36E37" w14:textId="77777777" w:rsidR="002F1423" w:rsidRDefault="002F1423">
      <w:pPr>
        <w:pStyle w:val="Default"/>
        <w:spacing w:before="0" w:line="480" w:lineRule="auto"/>
        <w:rPr>
          <w:rFonts w:ascii="Times New Roman" w:eastAsia="Times New Roman" w:hAnsi="Times New Roman" w:cs="Times New Roman"/>
          <w:color w:val="0E101A"/>
        </w:rPr>
      </w:pPr>
    </w:p>
    <w:p w14:paraId="75D822D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Multiple complex</w:t>
      </w:r>
      <w:r>
        <w:rPr>
          <w:rFonts w:ascii="Times New Roman" w:hAnsi="Times New Roman"/>
          <w:color w:val="0E101A"/>
        </w:rPr>
        <w:t>es function to generate ATP, CO2, and water in the electron transport chain. Two of these complexes have areas for which interaction with actinomycete metabolites can be disruptive. This is particularly true for Complex III, in which oligomycin can irrever</w:t>
      </w:r>
      <w:r>
        <w:rPr>
          <w:rFonts w:ascii="Times New Roman" w:hAnsi="Times New Roman"/>
          <w:color w:val="0E101A"/>
        </w:rPr>
        <w:t>sibly bind to ATP synthases, stopping electron transport chain production of ATP. If there is ATP synthases suppression in MHM, oligomycin could be less toxic to Complex III. As mentioned, piericidin A will bind irreversibly to Complex I.</w:t>
      </w:r>
    </w:p>
    <w:p w14:paraId="7FBEBE9E" w14:textId="77777777" w:rsidR="002F1423" w:rsidRDefault="002F1423">
      <w:pPr>
        <w:pStyle w:val="Default"/>
        <w:spacing w:before="0" w:line="480" w:lineRule="auto"/>
        <w:rPr>
          <w:rFonts w:ascii="Times New Roman" w:eastAsia="Times New Roman" w:hAnsi="Times New Roman" w:cs="Times New Roman"/>
          <w:color w:val="0E101A"/>
        </w:rPr>
      </w:pPr>
    </w:p>
    <w:p w14:paraId="53A3AC1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interaction </w:t>
      </w:r>
      <w:r>
        <w:rPr>
          <w:rFonts w:ascii="Times New Roman" w:hAnsi="Times New Roman"/>
          <w:color w:val="0E101A"/>
        </w:rPr>
        <w:t>of cytosol compartments and mitochondria with each of its two membranes is extraordinarily complex. Glucose metabolism products in the cytosol versus mitochondrial matrix are simply one example of compartmental complexity. The difficulty in assessing metab</w:t>
      </w:r>
      <w:r>
        <w:rPr>
          <w:rFonts w:ascii="Times New Roman" w:hAnsi="Times New Roman"/>
          <w:color w:val="0E101A"/>
        </w:rPr>
        <w:t>olic needs for each of these interactions is measuring mitochondria activity within a living cell, understanding that there are thousands of mitochondria functioning in each cell at a given time. Some, but not all, may be affected by other metabolic pathwa</w:t>
      </w:r>
      <w:r>
        <w:rPr>
          <w:rFonts w:ascii="Times New Roman" w:hAnsi="Times New Roman"/>
          <w:color w:val="0E101A"/>
        </w:rPr>
        <w:t>ys.</w:t>
      </w:r>
      <w:r>
        <w:rPr>
          <w:rFonts w:ascii="Times New Roman" w:hAnsi="Times New Roman"/>
          <w:color w:val="0E101A"/>
        </w:rPr>
        <w:t> </w:t>
      </w:r>
    </w:p>
    <w:p w14:paraId="490E79A0" w14:textId="77777777" w:rsidR="002F1423" w:rsidRDefault="002F1423">
      <w:pPr>
        <w:pStyle w:val="Default"/>
        <w:spacing w:before="0" w:line="480" w:lineRule="auto"/>
        <w:rPr>
          <w:rFonts w:ascii="Times New Roman" w:eastAsia="Times New Roman" w:hAnsi="Times New Roman" w:cs="Times New Roman"/>
          <w:color w:val="0E101A"/>
        </w:rPr>
      </w:pPr>
    </w:p>
    <w:p w14:paraId="4B5CC598"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Pyruvate is vitally important in cell proliferation in which the Warburg Effect is active, compared to cell conservation of energy where ETC is involved. The distinct differences in the results of pyruvate metabolism from either cytosol or mitochondr</w:t>
      </w:r>
      <w:r>
        <w:rPr>
          <w:rFonts w:ascii="Times New Roman" w:hAnsi="Times New Roman"/>
          <w:color w:val="0E101A"/>
        </w:rPr>
        <w:t>ial matrix compartments underlie proliferative versus energy conservation physiology.</w:t>
      </w:r>
      <w:r>
        <w:rPr>
          <w:rFonts w:ascii="Times New Roman" w:hAnsi="Times New Roman"/>
          <w:color w:val="0E101A"/>
        </w:rPr>
        <w:t> </w:t>
      </w:r>
    </w:p>
    <w:p w14:paraId="41152339" w14:textId="77777777" w:rsidR="002F1423" w:rsidRDefault="002F1423">
      <w:pPr>
        <w:pStyle w:val="Default"/>
        <w:spacing w:before="0" w:line="480" w:lineRule="auto"/>
        <w:rPr>
          <w:rFonts w:ascii="Times New Roman" w:eastAsia="Times New Roman" w:hAnsi="Times New Roman" w:cs="Times New Roman"/>
          <w:color w:val="0E101A"/>
        </w:rPr>
      </w:pPr>
    </w:p>
    <w:p w14:paraId="62F514BA"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5. Focus on the Warburg Effect</w:t>
      </w:r>
    </w:p>
    <w:p w14:paraId="6F29074C" w14:textId="77777777" w:rsidR="002F1423" w:rsidRDefault="002F1423">
      <w:pPr>
        <w:pStyle w:val="Default"/>
        <w:spacing w:before="0" w:line="480" w:lineRule="auto"/>
        <w:rPr>
          <w:rFonts w:ascii="Times New Roman" w:eastAsia="Times New Roman" w:hAnsi="Times New Roman" w:cs="Times New Roman"/>
          <w:color w:val="0E101A"/>
        </w:rPr>
      </w:pPr>
    </w:p>
    <w:p w14:paraId="1409E5C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Otto Warburg gets less recognition than the theme of this paper suggests he deserves. Perhaps if we had made broader advances in the tre</w:t>
      </w:r>
      <w:r>
        <w:rPr>
          <w:rFonts w:ascii="Times New Roman" w:hAnsi="Times New Roman"/>
          <w:color w:val="0E101A"/>
        </w:rPr>
        <w:t>atment of cancers, Warburg would be better known since his work defining aerobic glycolysis, as used by many malignant cells, was indeed a seminal event.</w:t>
      </w:r>
      <w:r>
        <w:rPr>
          <w:rFonts w:ascii="Times New Roman" w:hAnsi="Times New Roman"/>
          <w:color w:val="0E101A"/>
          <w:vertAlign w:val="superscript"/>
        </w:rPr>
        <w:t>14</w:t>
      </w:r>
    </w:p>
    <w:p w14:paraId="5ABFA308" w14:textId="77777777" w:rsidR="002F1423" w:rsidRDefault="002F1423">
      <w:pPr>
        <w:pStyle w:val="Default"/>
        <w:spacing w:before="0" w:line="480" w:lineRule="auto"/>
        <w:rPr>
          <w:rFonts w:ascii="Times New Roman" w:eastAsia="Times New Roman" w:hAnsi="Times New Roman" w:cs="Times New Roman"/>
          <w:color w:val="0E101A"/>
        </w:rPr>
      </w:pPr>
    </w:p>
    <w:p w14:paraId="04DE5129"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concept that pyruvate converts to lactate in the presence of oxygen, called aerobic </w:t>
      </w:r>
      <w:r>
        <w:rPr>
          <w:rFonts w:ascii="Times New Roman" w:hAnsi="Times New Roman"/>
          <w:color w:val="0E101A"/>
        </w:rPr>
        <w:t>glycolysis,</w:t>
      </w:r>
      <w:r>
        <w:rPr>
          <w:rFonts w:ascii="Times New Roman" w:hAnsi="Times New Roman"/>
          <w:color w:val="0E101A"/>
        </w:rPr>
        <w:t> </w:t>
      </w:r>
      <w:r>
        <w:rPr>
          <w:rFonts w:ascii="Times New Roman" w:hAnsi="Times New Roman"/>
          <w:i/>
          <w:iCs/>
          <w:color w:val="0E101A"/>
        </w:rPr>
        <w:t>not in the absence of oxygen</w:t>
      </w:r>
      <w:r>
        <w:rPr>
          <w:rFonts w:ascii="Times New Roman" w:hAnsi="Times New Roman"/>
          <w:color w:val="0E101A"/>
        </w:rPr>
        <w:t> </w:t>
      </w:r>
      <w:r>
        <w:rPr>
          <w:rFonts w:ascii="Times New Roman" w:hAnsi="Times New Roman"/>
          <w:color w:val="0E101A"/>
        </w:rPr>
        <w:t>(anaerobic glycolysis), was a radical idea one hundred years ago. The fact that cancer cells used aerobic glycolysis made Warburg's observations even more dramatic. Warburg did not know enough about the role of mito</w:t>
      </w:r>
      <w:r>
        <w:rPr>
          <w:rFonts w:ascii="Times New Roman" w:hAnsi="Times New Roman"/>
          <w:color w:val="0E101A"/>
        </w:rPr>
        <w:t>chondria and oxidative phosphorylation, as Hans Krebs published his work on the eponymous Krebs' cycle in 1937. He also did not explain the increased ammonia observed in his tissue preps, now recognized as a marker for active amino acid metabolism, includi</w:t>
      </w:r>
      <w:r>
        <w:rPr>
          <w:rFonts w:ascii="Times New Roman" w:hAnsi="Times New Roman"/>
          <w:color w:val="0E101A"/>
        </w:rPr>
        <w:t>ng glutaminolysis. Warburg felt that mitochondria in cancer cells were dysfunctional. Perhaps if he had known about VDAC, he would have recognized that the dysfunction was an indicator of the closure of that pore in the outer mitochondrial membrane and tha</w:t>
      </w:r>
      <w:r>
        <w:rPr>
          <w:rFonts w:ascii="Times New Roman" w:hAnsi="Times New Roman"/>
          <w:color w:val="0E101A"/>
        </w:rPr>
        <w:t>t nothing was wrong with the mitochondria.</w:t>
      </w:r>
    </w:p>
    <w:p w14:paraId="5FDC50E8" w14:textId="77777777" w:rsidR="002F1423" w:rsidRDefault="002F1423">
      <w:pPr>
        <w:pStyle w:val="Default"/>
        <w:spacing w:before="0" w:line="480" w:lineRule="auto"/>
        <w:rPr>
          <w:rFonts w:ascii="Times New Roman" w:eastAsia="Times New Roman" w:hAnsi="Times New Roman" w:cs="Times New Roman"/>
          <w:color w:val="0E101A"/>
        </w:rPr>
      </w:pPr>
    </w:p>
    <w:p w14:paraId="2218CB45"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All cancers do not use aerobic glycolysis, but this does not detract from the importance of Warburg's discovery. While aerobic glycolysis and oxidative phosphorylation can coexist in a given tumor, we speculate t</w:t>
      </w:r>
      <w:r>
        <w:rPr>
          <w:rFonts w:ascii="Times New Roman" w:hAnsi="Times New Roman"/>
          <w:color w:val="0E101A"/>
        </w:rPr>
        <w:t>hat slower-growing tumors use aerobic glycolysis less than faster-growing tumors. To summarize, rapidly dividing tissue needs more cellular building blocks than energy conservation-driven cells in tissues with normal growth rates. These building blocks inc</w:t>
      </w:r>
      <w:r>
        <w:rPr>
          <w:rFonts w:ascii="Times New Roman" w:hAnsi="Times New Roman"/>
          <w:color w:val="0E101A"/>
        </w:rPr>
        <w:t>lude nucleotides (influenced by G6PD) and lipids (influenced by TPI, triose phosphate isomerase) made during the first three steps of glycolysis.</w:t>
      </w:r>
    </w:p>
    <w:p w14:paraId="2C3ADAA1" w14:textId="77777777" w:rsidR="002F1423" w:rsidRDefault="002F1423">
      <w:pPr>
        <w:pStyle w:val="Default"/>
        <w:spacing w:before="0" w:line="480" w:lineRule="auto"/>
        <w:rPr>
          <w:rFonts w:ascii="Times New Roman" w:eastAsia="Times New Roman" w:hAnsi="Times New Roman" w:cs="Times New Roman"/>
          <w:color w:val="0E101A"/>
        </w:rPr>
      </w:pPr>
    </w:p>
    <w:p w14:paraId="68E20DA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Understanding that CIRS cases comprise the majority of those studied with transcriptomics to date, the findin</w:t>
      </w:r>
      <w:r>
        <w:rPr>
          <w:rFonts w:ascii="Times New Roman" w:hAnsi="Times New Roman"/>
          <w:color w:val="0E101A"/>
        </w:rPr>
        <w:t>g of upregulation of CD14 and TLR4 correlates with exposure to water-damaged buildings (WDB) with elevated levels of endotoxins. Tentative markers of exposure to WDBs with increased species abundance of actinomycetes are ribosomal stress responses, includi</w:t>
      </w:r>
      <w:r>
        <w:rPr>
          <w:rFonts w:ascii="Times New Roman" w:hAnsi="Times New Roman"/>
          <w:color w:val="0E101A"/>
        </w:rPr>
        <w:t>ng MAP kinases,</w:t>
      </w:r>
      <w:r>
        <w:rPr>
          <w:rFonts w:ascii="Times New Roman" w:hAnsi="Times New Roman"/>
          <w:color w:val="0E101A"/>
          <w:vertAlign w:val="superscript"/>
        </w:rPr>
        <w:t>45</w:t>
      </w:r>
      <w:r>
        <w:rPr>
          <w:rFonts w:ascii="Times New Roman" w:hAnsi="Times New Roman"/>
          <w:color w:val="0E101A"/>
          <w:vertAlign w:val="superscript"/>
        </w:rPr>
        <w:t>,</w:t>
      </w:r>
      <w:r>
        <w:rPr>
          <w:rFonts w:ascii="Times New Roman" w:hAnsi="Times New Roman"/>
          <w:color w:val="0E101A"/>
          <w:vertAlign w:val="superscript"/>
        </w:rPr>
        <w:t xml:space="preserve"> 46</w:t>
      </w:r>
      <w:r>
        <w:rPr>
          <w:rFonts w:ascii="Times New Roman" w:hAnsi="Times New Roman"/>
          <w:color w:val="0E101A"/>
        </w:rPr>
        <w:t xml:space="preserve"> with normal levels of a version of a building health index called Health Effects Roster of Type-Specific Formers of Mycotoxins and Inflammagens, version 2 (HERTSMI-2).</w:t>
      </w:r>
      <w:r>
        <w:rPr>
          <w:rFonts w:ascii="Times New Roman" w:hAnsi="Times New Roman"/>
          <w:color w:val="0E101A"/>
          <w:vertAlign w:val="superscript"/>
        </w:rPr>
        <w:t>47</w:t>
      </w:r>
      <w:r>
        <w:rPr>
          <w:rFonts w:ascii="Times New Roman" w:hAnsi="Times New Roman"/>
          <w:color w:val="0E101A"/>
        </w:rPr>
        <w:t xml:space="preserve"> Exposure to mycotoxins also can involve upregulation of MAPKs, among other genes, tho</w:t>
      </w:r>
      <w:r>
        <w:rPr>
          <w:rFonts w:ascii="Times New Roman" w:hAnsi="Times New Roman"/>
          <w:color w:val="0E101A"/>
        </w:rPr>
        <w:t>ugh greater in number than seen with exposure to actinomycetes.</w:t>
      </w:r>
      <w:r>
        <w:rPr>
          <w:rFonts w:ascii="Times New Roman" w:hAnsi="Times New Roman"/>
          <w:color w:val="0E101A"/>
        </w:rPr>
        <w:t> </w:t>
      </w:r>
    </w:p>
    <w:p w14:paraId="4333B915" w14:textId="77777777" w:rsidR="002F1423" w:rsidRDefault="002F1423">
      <w:pPr>
        <w:pStyle w:val="Default"/>
        <w:spacing w:before="0" w:line="480" w:lineRule="auto"/>
        <w:rPr>
          <w:rFonts w:ascii="Times New Roman" w:eastAsia="Times New Roman" w:hAnsi="Times New Roman" w:cs="Times New Roman"/>
          <w:color w:val="0E101A"/>
        </w:rPr>
      </w:pPr>
    </w:p>
    <w:p w14:paraId="3250318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6. Transcriptomics and Metabolism</w:t>
      </w:r>
    </w:p>
    <w:p w14:paraId="4989964F" w14:textId="77777777" w:rsidR="002F1423" w:rsidRDefault="002F1423">
      <w:pPr>
        <w:pStyle w:val="Default"/>
        <w:spacing w:before="0" w:line="480" w:lineRule="auto"/>
        <w:rPr>
          <w:rFonts w:ascii="Times New Roman" w:eastAsia="Times New Roman" w:hAnsi="Times New Roman" w:cs="Times New Roman"/>
          <w:color w:val="0E101A"/>
        </w:rPr>
      </w:pPr>
    </w:p>
    <w:p w14:paraId="3E58355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approach to metabolism in CIRS as a unique entity is complex, with multiple interacting systems of feedback regulation. While that source of </w:t>
      </w:r>
      <w:r>
        <w:rPr>
          <w:rFonts w:ascii="Times New Roman" w:hAnsi="Times New Roman"/>
          <w:color w:val="0E101A"/>
        </w:rPr>
        <w:t>complexity is daunting, further complications occur in understanding metabolism in CIRS by a paucity of papers in the metabolism literature on the inflammatory gene database interacting with MHM. Novel discoveries like MHM form the basis for possible advan</w:t>
      </w:r>
      <w:r>
        <w:rPr>
          <w:rFonts w:ascii="Times New Roman" w:hAnsi="Times New Roman"/>
          <w:color w:val="0E101A"/>
        </w:rPr>
        <w:t>ces in science, but the expansion of the application of new ideas can be a slow, step-by-step journey. The metabolism literature has a paucity of proteomic testing results (TGF</w:t>
      </w:r>
      <w:r>
        <w:rPr>
          <w:rFonts w:ascii="Times New Roman" w:hAnsi="Times New Roman"/>
          <w:color w:val="0E101A"/>
        </w:rPr>
        <w:t>β</w:t>
      </w:r>
      <w:r>
        <w:rPr>
          <w:rFonts w:ascii="Times New Roman" w:hAnsi="Times New Roman"/>
          <w:color w:val="0E101A"/>
        </w:rPr>
        <w:t>-1, MMP-9, MSH, and VEGF).</w:t>
      </w:r>
      <w:r>
        <w:rPr>
          <w:rFonts w:ascii="Times New Roman" w:hAnsi="Times New Roman"/>
          <w:color w:val="0E101A"/>
        </w:rPr>
        <w:t> </w:t>
      </w:r>
    </w:p>
    <w:p w14:paraId="5903CA09" w14:textId="77777777" w:rsidR="002F1423" w:rsidRDefault="002F1423">
      <w:pPr>
        <w:pStyle w:val="Default"/>
        <w:spacing w:before="0" w:line="480" w:lineRule="auto"/>
        <w:rPr>
          <w:rFonts w:ascii="Times New Roman" w:eastAsia="Times New Roman" w:hAnsi="Times New Roman" w:cs="Times New Roman"/>
          <w:color w:val="0E101A"/>
        </w:rPr>
      </w:pPr>
    </w:p>
    <w:p w14:paraId="016A9D48"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 proprietary transcriptomic assay, GENIE, has sho</w:t>
      </w:r>
      <w:r>
        <w:rPr>
          <w:rFonts w:ascii="Times New Roman" w:hAnsi="Times New Roman"/>
          <w:color w:val="0E101A"/>
        </w:rPr>
        <w:t xml:space="preserve">wn us the in-depth importance of MHM and its multiple implications for cell physiology and metabolism. With MHM, one will first see issues regarding impairment of protein synthesis by disruption of messenger RNA (mRNA) for ribosomal genes that will impact </w:t>
      </w:r>
      <w:r>
        <w:rPr>
          <w:rFonts w:ascii="Times New Roman" w:hAnsi="Times New Roman"/>
          <w:color w:val="0E101A"/>
        </w:rPr>
        <w:t xml:space="preserve">variously on initiation, elongation, and termination of the RNA signal at the sarcin-ricin loop (SRL) wedged between the large and small ribosomal subunits. </w:t>
      </w:r>
      <w:r>
        <w:rPr>
          <w:rFonts w:ascii="Times New Roman" w:hAnsi="Times New Roman"/>
        </w:rPr>
        <w:t>The second issue is compromised energy production by impairing the synthesis of mitochondrial genes</w:t>
      </w:r>
      <w:r>
        <w:rPr>
          <w:rFonts w:ascii="Times New Roman" w:hAnsi="Times New Roman"/>
        </w:rPr>
        <w:t xml:space="preserve"> found in the nucleus.</w:t>
      </w:r>
      <w:r>
        <w:rPr>
          <w:rFonts w:ascii="Times New Roman" w:hAnsi="Times New Roman"/>
          <w:color w:val="0E101A"/>
        </w:rPr>
        <w:t xml:space="preserve"> Such nuclear-encoded mitochondrial RNA is produced following disrupted signals by transcription factors, epigenetic factors, microRNA, and regulatory factors such as ribonuclear proteins. The metabolic importance of regulating nuclea</w:t>
      </w:r>
      <w:r>
        <w:rPr>
          <w:rFonts w:ascii="Times New Roman" w:hAnsi="Times New Roman"/>
          <w:color w:val="0E101A"/>
        </w:rPr>
        <w:t>r-encoded mitochondrial RNA production parallels the importance of protein interactions and modification of proteins seen in metabolic pathways with such modifications following glycosylation.</w:t>
      </w:r>
      <w:r>
        <w:rPr>
          <w:rFonts w:ascii="Times New Roman" w:hAnsi="Times New Roman"/>
          <w:color w:val="0E101A"/>
        </w:rPr>
        <w:t> </w:t>
      </w:r>
    </w:p>
    <w:p w14:paraId="722076BF" w14:textId="77777777" w:rsidR="002F1423" w:rsidRDefault="002F1423">
      <w:pPr>
        <w:pStyle w:val="Default"/>
        <w:spacing w:before="0" w:line="480" w:lineRule="auto"/>
        <w:rPr>
          <w:rFonts w:ascii="Times New Roman" w:eastAsia="Times New Roman" w:hAnsi="Times New Roman" w:cs="Times New Roman"/>
          <w:color w:val="0E101A"/>
        </w:rPr>
      </w:pPr>
    </w:p>
    <w:p w14:paraId="627861F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Similarly, when ATP synthases are also affected, mitochondria</w:t>
      </w:r>
      <w:r>
        <w:rPr>
          <w:rFonts w:ascii="Times New Roman" w:hAnsi="Times New Roman"/>
          <w:color w:val="0E101A"/>
        </w:rPr>
        <w:t>l function is impaired. There is little wrong with the mitochondria in these situations. The energy metabolism is subject to such a diverse series of dysregulations found in MHM that attempting to tease out individual aspects is difficult.</w:t>
      </w:r>
      <w:r>
        <w:rPr>
          <w:rFonts w:ascii="Times New Roman" w:hAnsi="Times New Roman"/>
          <w:color w:val="0E101A"/>
        </w:rPr>
        <w:t> </w:t>
      </w:r>
    </w:p>
    <w:p w14:paraId="3F5236CA" w14:textId="77777777" w:rsidR="002F1423" w:rsidRDefault="002F1423">
      <w:pPr>
        <w:pStyle w:val="Default"/>
        <w:spacing w:before="0" w:line="480" w:lineRule="auto"/>
        <w:rPr>
          <w:rFonts w:ascii="Times New Roman" w:eastAsia="Times New Roman" w:hAnsi="Times New Roman" w:cs="Times New Roman"/>
          <w:color w:val="0E101A"/>
        </w:rPr>
      </w:pPr>
    </w:p>
    <w:p w14:paraId="500CADD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 xml:space="preserve">7. </w:t>
      </w:r>
      <w:r>
        <w:rPr>
          <w:rFonts w:ascii="Times New Roman" w:hAnsi="Times New Roman"/>
          <w:b/>
          <w:bCs/>
          <w:color w:val="0E101A"/>
        </w:rPr>
        <w:t>Insulin Receptor Substrate 2</w:t>
      </w:r>
      <w:r>
        <w:rPr>
          <w:rFonts w:ascii="Times New Roman" w:hAnsi="Times New Roman"/>
          <w:b/>
          <w:bCs/>
          <w:color w:val="0E101A"/>
        </w:rPr>
        <w:t xml:space="preserve"> </w:t>
      </w:r>
      <w:r>
        <w:rPr>
          <w:rFonts w:ascii="Times New Roman" w:hAnsi="Times New Roman"/>
          <w:b/>
          <w:bCs/>
          <w:color w:val="0E101A"/>
          <w:lang w:val="pt-PT"/>
        </w:rPr>
        <w:t>(IRS2)</w:t>
      </w:r>
    </w:p>
    <w:p w14:paraId="1176BFE5" w14:textId="77777777" w:rsidR="002F1423" w:rsidRDefault="002F1423">
      <w:pPr>
        <w:pStyle w:val="Default"/>
        <w:spacing w:before="0" w:line="480" w:lineRule="auto"/>
        <w:rPr>
          <w:rFonts w:ascii="Times New Roman" w:eastAsia="Times New Roman" w:hAnsi="Times New Roman" w:cs="Times New Roman"/>
          <w:color w:val="0E101A"/>
        </w:rPr>
      </w:pPr>
    </w:p>
    <w:p w14:paraId="13AC680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GENIE shows that patients with MHM may have either up-or down-regulated responses to insulin receptor substrate 2 (IRS2) activation. IRS2 is part of a group of cytoplasmic proteins that are anabolic, preventing the development of Type 2 diabetes, in part b</w:t>
      </w:r>
      <w:r>
        <w:rPr>
          <w:rFonts w:ascii="Times New Roman" w:hAnsi="Times New Roman"/>
          <w:color w:val="0E101A"/>
        </w:rPr>
        <w:t>y activating glucose transport channels GLUT-1 and GLUT-4, as well as activating pathways that gear towards protein synthesis, cell proliferation, and cell survival.</w:t>
      </w:r>
      <w:r>
        <w:rPr>
          <w:rFonts w:ascii="Times New Roman" w:hAnsi="Times New Roman"/>
          <w:color w:val="0E101A"/>
          <w:vertAlign w:val="superscript"/>
        </w:rPr>
        <w:t>48</w:t>
      </w:r>
      <w:r>
        <w:rPr>
          <w:rFonts w:ascii="Times New Roman" w:hAnsi="Times New Roman"/>
          <w:color w:val="0E101A"/>
        </w:rPr>
        <w:t xml:space="preserve"> If GLUT-1 and 4 are open</w:t>
      </w:r>
      <w:r>
        <w:rPr>
          <w:rFonts w:ascii="Times New Roman" w:hAnsi="Times New Roman"/>
        </w:rPr>
        <w:t>,</w:t>
      </w:r>
      <w:r>
        <w:rPr>
          <w:rFonts w:ascii="Times New Roman" w:hAnsi="Times New Roman"/>
          <w:color w:val="0E101A"/>
        </w:rPr>
        <w:t xml:space="preserve"> but there are reduced translocases, there will be an increased cytosolic glucose load </w:t>
      </w:r>
      <w:r>
        <w:rPr>
          <w:rFonts w:ascii="Times New Roman" w:hAnsi="Times New Roman"/>
        </w:rPr>
        <w:t>in the face of</w:t>
      </w:r>
      <w:r>
        <w:rPr>
          <w:rFonts w:ascii="Times New Roman" w:hAnsi="Times New Roman"/>
          <w:color w:val="0E101A"/>
        </w:rPr>
        <w:t xml:space="preserve"> reduced pyruvate delivery to the mitochondrial matrix. Aerobic glycolysis and proliferative physiology will follow. IRS2 also helps coordinate extracellul</w:t>
      </w:r>
      <w:r>
        <w:rPr>
          <w:rFonts w:ascii="Times New Roman" w:hAnsi="Times New Roman"/>
          <w:color w:val="0E101A"/>
        </w:rPr>
        <w:t>ar signals via transmembrane receptors that regulate downstream pathways, including fatty acid oxidation (FAO), P13K/Akt/mTOR, and MAPK.</w:t>
      </w:r>
      <w:r>
        <w:rPr>
          <w:rFonts w:ascii="Times New Roman" w:hAnsi="Times New Roman"/>
          <w:color w:val="0E101A"/>
          <w:vertAlign w:val="superscript"/>
        </w:rPr>
        <w:t>49</w:t>
      </w:r>
      <w:r>
        <w:rPr>
          <w:rFonts w:ascii="Times New Roman" w:hAnsi="Times New Roman"/>
          <w:color w:val="0E101A"/>
        </w:rPr>
        <w:t>  </w:t>
      </w:r>
    </w:p>
    <w:p w14:paraId="58203C25" w14:textId="77777777" w:rsidR="002F1423" w:rsidRDefault="002F1423">
      <w:pPr>
        <w:pStyle w:val="Default"/>
        <w:spacing w:before="0" w:line="480" w:lineRule="auto"/>
        <w:rPr>
          <w:rFonts w:ascii="Times New Roman" w:eastAsia="Times New Roman" w:hAnsi="Times New Roman" w:cs="Times New Roman"/>
          <w:color w:val="0E101A"/>
        </w:rPr>
      </w:pPr>
    </w:p>
    <w:p w14:paraId="67B0429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IRS2 is one of the major mediators that responds to insulin and insulin-like growth factor (IGF1). If IRS2 is upre</w:t>
      </w:r>
      <w:r>
        <w:rPr>
          <w:rFonts w:ascii="Times New Roman" w:hAnsi="Times New Roman"/>
          <w:color w:val="0E101A"/>
        </w:rPr>
        <w:t>gulated</w:t>
      </w:r>
      <w:r>
        <w:rPr>
          <w:rFonts w:ascii="Times New Roman" w:hAnsi="Times New Roman"/>
          <w:color w:val="FF2600"/>
        </w:rPr>
        <w:t xml:space="preserve"> </w:t>
      </w:r>
      <w:r>
        <w:rPr>
          <w:rFonts w:ascii="Times New Roman" w:hAnsi="Times New Roman"/>
        </w:rPr>
        <w:t>with</w:t>
      </w:r>
      <w:r>
        <w:rPr>
          <w:rFonts w:ascii="Times New Roman" w:hAnsi="Times New Roman"/>
          <w:color w:val="FF2600"/>
        </w:rPr>
        <w:t xml:space="preserve"> </w:t>
      </w:r>
      <w:r>
        <w:rPr>
          <w:rFonts w:ascii="Times New Roman" w:hAnsi="Times New Roman"/>
          <w:color w:val="0E101A"/>
        </w:rPr>
        <w:t xml:space="preserve">hypometabolism, creating a </w:t>
      </w:r>
      <w:r>
        <w:rPr>
          <w:rFonts w:ascii="Times New Roman" w:hAnsi="Times New Roman"/>
          <w:color w:val="0E101A"/>
        </w:rPr>
        <w:t>“</w:t>
      </w:r>
      <w:r>
        <w:rPr>
          <w:rFonts w:ascii="Times New Roman" w:hAnsi="Times New Roman"/>
          <w:color w:val="0E101A"/>
        </w:rPr>
        <w:t>mismatch,</w:t>
      </w:r>
      <w:r>
        <w:rPr>
          <w:rFonts w:ascii="Times New Roman" w:hAnsi="Times New Roman"/>
          <w:color w:val="0E101A"/>
        </w:rPr>
        <w:t>”</w:t>
      </w:r>
      <w:r>
        <w:rPr>
          <w:rFonts w:ascii="Times New Roman" w:hAnsi="Times New Roman"/>
          <w:color w:val="0E101A"/>
        </w:rPr>
        <w:t xml:space="preserve"> one of the mechanisms to control cellular survival </w:t>
      </w:r>
      <w:r>
        <w:rPr>
          <w:rFonts w:ascii="Times New Roman" w:hAnsi="Times New Roman"/>
        </w:rPr>
        <w:t>during</w:t>
      </w:r>
      <w:r>
        <w:rPr>
          <w:rFonts w:ascii="Times New Roman" w:hAnsi="Times New Roman"/>
          <w:color w:val="0E101A"/>
        </w:rPr>
        <w:t xml:space="preserve"> MHM is to downregulate the production of pyruvate by suppressing glycolysis. If IRS2 upregulates in MHM, activation of Akt and MAPK proceed unchecked, wasting energy and cellular building blocks. This mismatch can be disastrous for the MHM cell metabolism</w:t>
      </w:r>
      <w:r>
        <w:rPr>
          <w:rFonts w:ascii="Times New Roman" w:hAnsi="Times New Roman"/>
          <w:color w:val="0E101A"/>
        </w:rPr>
        <w:t xml:space="preserve"> as it becomes a prescription for enhanced Warburg Effect.</w:t>
      </w:r>
      <w:r>
        <w:rPr>
          <w:rFonts w:ascii="Times New Roman" w:hAnsi="Times New Roman"/>
          <w:color w:val="0E101A"/>
        </w:rPr>
        <w:t> </w:t>
      </w:r>
    </w:p>
    <w:p w14:paraId="6FF76AF4" w14:textId="77777777" w:rsidR="002F1423" w:rsidRDefault="002F1423">
      <w:pPr>
        <w:pStyle w:val="Default"/>
        <w:spacing w:before="0" w:line="480" w:lineRule="auto"/>
        <w:rPr>
          <w:rFonts w:ascii="Times New Roman" w:eastAsia="Times New Roman" w:hAnsi="Times New Roman" w:cs="Times New Roman"/>
          <w:color w:val="0E101A"/>
        </w:rPr>
      </w:pPr>
    </w:p>
    <w:p w14:paraId="01CEF32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Conversely, if MHM is absent and IRS2 downregulates, normal cell survival and protein synthesis would again be compromised as the cell will have compromised delivery of glucose to an intact system of </w:t>
      </w:r>
    </w:p>
    <w:p w14:paraId="7B52D0D8" w14:textId="77777777" w:rsidR="002F1423" w:rsidRDefault="00927F0D">
      <w:pPr>
        <w:pStyle w:val="Default"/>
        <w:numPr>
          <w:ilvl w:val="0"/>
          <w:numId w:val="9"/>
        </w:numPr>
        <w:spacing w:before="0" w:line="480" w:lineRule="auto"/>
        <w:rPr>
          <w:rFonts w:ascii="Times New Roman" w:hAnsi="Times New Roman"/>
        </w:rPr>
      </w:pPr>
      <w:r>
        <w:rPr>
          <w:rFonts w:ascii="Times New Roman" w:hAnsi="Times New Roman"/>
        </w:rPr>
        <w:t xml:space="preserve">pyruvate production by glycolysis and </w:t>
      </w:r>
    </w:p>
    <w:p w14:paraId="3322D8B8" w14:textId="77777777" w:rsidR="002F1423" w:rsidRDefault="00927F0D">
      <w:pPr>
        <w:pStyle w:val="Default"/>
        <w:numPr>
          <w:ilvl w:val="0"/>
          <w:numId w:val="2"/>
        </w:numPr>
        <w:spacing w:before="0" w:line="480" w:lineRule="auto"/>
        <w:rPr>
          <w:rFonts w:ascii="Times New Roman" w:hAnsi="Times New Roman"/>
        </w:rPr>
      </w:pPr>
      <w:r>
        <w:rPr>
          <w:rFonts w:ascii="Times New Roman" w:hAnsi="Times New Roman"/>
        </w:rPr>
        <w:t>pyruvate deliver</w:t>
      </w:r>
      <w:r>
        <w:rPr>
          <w:rFonts w:ascii="Times New Roman" w:hAnsi="Times New Roman"/>
        </w:rPr>
        <w:t>y into the mitochondrial matrix.</w:t>
      </w:r>
    </w:p>
    <w:p w14:paraId="5AE0EB20" w14:textId="77777777" w:rsidR="002F1423" w:rsidRDefault="002F1423">
      <w:pPr>
        <w:pStyle w:val="Default"/>
        <w:spacing w:before="0" w:line="480" w:lineRule="auto"/>
        <w:rPr>
          <w:rFonts w:ascii="Times New Roman" w:eastAsia="Times New Roman" w:hAnsi="Times New Roman" w:cs="Times New Roman"/>
          <w:color w:val="0E101A"/>
        </w:rPr>
      </w:pPr>
    </w:p>
    <w:p w14:paraId="01A9142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When IRS2 is down-regulated, GLUT-1 and GLUT-</w:t>
      </w:r>
      <w:r>
        <w:rPr>
          <w:rFonts w:ascii="Times New Roman" w:hAnsi="Times New Roman"/>
          <w:color w:val="0E101A"/>
        </w:rPr>
        <w:t>4 transport</w:t>
      </w:r>
      <w:r>
        <w:rPr>
          <w:rFonts w:ascii="Times New Roman" w:hAnsi="Times New Roman"/>
          <w:color w:val="0E101A"/>
        </w:rPr>
        <w:t>s are impaired.</w:t>
      </w:r>
      <w:r>
        <w:rPr>
          <w:rFonts w:ascii="Times New Roman" w:hAnsi="Times New Roman"/>
          <w:color w:val="0E101A"/>
          <w:vertAlign w:val="superscript"/>
        </w:rPr>
        <w:t>50</w:t>
      </w:r>
      <w:r>
        <w:rPr>
          <w:rFonts w:ascii="Times New Roman" w:hAnsi="Times New Roman"/>
          <w:color w:val="0E101A"/>
        </w:rPr>
        <w:t xml:space="preserve"> With such impairment, a major source of glucose delivery becomes an endosome containing an insulin receptor bound to insulin and bound to glucose an</w:t>
      </w:r>
      <w:r>
        <w:rPr>
          <w:rFonts w:ascii="Times New Roman" w:hAnsi="Times New Roman"/>
          <w:color w:val="0E101A"/>
        </w:rPr>
        <w:t>d moves from the cell membrane inside the cell.</w:t>
      </w:r>
      <w:r>
        <w:rPr>
          <w:rFonts w:ascii="Times New Roman" w:hAnsi="Times New Roman"/>
          <w:color w:val="0E101A"/>
          <w:vertAlign w:val="superscript"/>
        </w:rPr>
        <w:t>51</w:t>
      </w:r>
      <w:r>
        <w:rPr>
          <w:rFonts w:ascii="Times New Roman" w:hAnsi="Times New Roman"/>
          <w:color w:val="0E101A"/>
        </w:rPr>
        <w:t xml:space="preserve"> This endosome, functioning like an insulin bubble surrounded by a membrane, is held intact in the cytoplasm until it becomes acidified. If hydrogen ion enters the endosome, there will be a release or recycl</w:t>
      </w:r>
      <w:r>
        <w:rPr>
          <w:rFonts w:ascii="Times New Roman" w:hAnsi="Times New Roman"/>
          <w:color w:val="0E101A"/>
        </w:rPr>
        <w:t>ing of insulin and insulin receptors back to the cell membrane and glucose delivery for glycolysis.</w:t>
      </w:r>
      <w:r>
        <w:rPr>
          <w:rFonts w:ascii="Times New Roman" w:hAnsi="Times New Roman"/>
          <w:color w:val="0E101A"/>
          <w:vertAlign w:val="superscript"/>
        </w:rPr>
        <w:t>52</w:t>
      </w:r>
      <w:r>
        <w:rPr>
          <w:rFonts w:ascii="Times New Roman" w:hAnsi="Times New Roman"/>
          <w:color w:val="0E101A"/>
        </w:rPr>
        <w:t xml:space="preserve"> In the presence of polycyclic acid ether toxins made by actinomycetes species, primarily Streptomyces, including monensin and nigericin, there will be</w:t>
      </w:r>
      <w:r>
        <w:rPr>
          <w:rFonts w:ascii="Times New Roman" w:hAnsi="Times New Roman"/>
          <w:color w:val="0E101A"/>
        </w:rPr>
        <w:t> </w:t>
      </w:r>
      <w:r>
        <w:rPr>
          <w:rFonts w:ascii="Times New Roman" w:hAnsi="Times New Roman"/>
          <w:i/>
          <w:iCs/>
          <w:color w:val="0E101A"/>
          <w:lang w:val="fr-FR"/>
        </w:rPr>
        <w:t>imp</w:t>
      </w:r>
      <w:r>
        <w:rPr>
          <w:rFonts w:ascii="Times New Roman" w:hAnsi="Times New Roman"/>
          <w:i/>
          <w:iCs/>
          <w:color w:val="0E101A"/>
          <w:lang w:val="fr-FR"/>
        </w:rPr>
        <w:t>airment</w:t>
      </w:r>
      <w:r>
        <w:rPr>
          <w:rFonts w:ascii="Times New Roman" w:hAnsi="Times New Roman"/>
          <w:color w:val="0E101A"/>
        </w:rPr>
        <w:t> </w:t>
      </w:r>
      <w:r>
        <w:rPr>
          <w:rFonts w:ascii="Times New Roman" w:hAnsi="Times New Roman"/>
          <w:color w:val="0E101A"/>
        </w:rPr>
        <w:t>of acidification of the endosome and absent or reduced release of glucose, with little recycling of insulin and insulin receptors.</w:t>
      </w:r>
      <w:r>
        <w:rPr>
          <w:rFonts w:ascii="Times New Roman" w:hAnsi="Times New Roman"/>
          <w:color w:val="0E101A"/>
          <w:vertAlign w:val="superscript"/>
        </w:rPr>
        <w:t>53</w:t>
      </w:r>
      <w:r>
        <w:rPr>
          <w:rFonts w:ascii="Times New Roman" w:hAnsi="Times New Roman"/>
          <w:color w:val="0E101A"/>
        </w:rPr>
        <w:t xml:space="preserve"> There is no dearth of insulin, no dearth of insulin receptors, but functionally insulin resistance is created. This mechanism of enhanced storage of insulin, insulin receptors, and glucose inside the cell may be a form of </w:t>
      </w:r>
      <w:r>
        <w:rPr>
          <w:rFonts w:ascii="Times New Roman" w:hAnsi="Times New Roman"/>
          <w:color w:val="0E101A"/>
        </w:rPr>
        <w:t>“</w:t>
      </w:r>
      <w:r>
        <w:rPr>
          <w:rFonts w:ascii="Times New Roman" w:hAnsi="Times New Roman"/>
          <w:color w:val="0E101A"/>
          <w:lang w:val="it-IT"/>
        </w:rPr>
        <w:t>intracellular insulin resistance</w:t>
      </w:r>
      <w:r>
        <w:rPr>
          <w:rFonts w:ascii="Times New Roman" w:hAnsi="Times New Roman"/>
          <w:color w:val="0E101A"/>
        </w:rPr>
        <w:t>,</w:t>
      </w:r>
      <w:r>
        <w:rPr>
          <w:rFonts w:ascii="Times New Roman" w:hAnsi="Times New Roman"/>
          <w:color w:val="0E101A"/>
        </w:rPr>
        <w:t>”</w:t>
      </w:r>
      <w:r>
        <w:rPr>
          <w:rFonts w:ascii="Times New Roman" w:hAnsi="Times New Roman"/>
          <w:color w:val="0E101A"/>
          <w:vertAlign w:val="superscript"/>
        </w:rPr>
        <w:t>53</w:t>
      </w:r>
      <w:r>
        <w:rPr>
          <w:rFonts w:ascii="Times New Roman" w:hAnsi="Times New Roman"/>
          <w:color w:val="0E101A"/>
        </w:rPr>
        <w:t xml:space="preserve"> as opposed to the </w:t>
      </w:r>
      <w:r>
        <w:rPr>
          <w:rFonts w:ascii="Times New Roman" w:hAnsi="Times New Roman"/>
          <w:color w:val="0E101A"/>
        </w:rPr>
        <w:t>“</w:t>
      </w:r>
      <w:r>
        <w:rPr>
          <w:rFonts w:ascii="Times New Roman" w:hAnsi="Times New Roman"/>
          <w:color w:val="0E101A"/>
          <w:lang w:val="it-IT"/>
        </w:rPr>
        <w:t>extracellular</w:t>
      </w:r>
      <w:r>
        <w:rPr>
          <w:rFonts w:ascii="Times New Roman" w:hAnsi="Times New Roman"/>
          <w:color w:val="0E101A"/>
        </w:rPr>
        <w:t>”</w:t>
      </w:r>
      <w:r>
        <w:rPr>
          <w:rFonts w:ascii="Times New Roman" w:hAnsi="Times New Roman"/>
          <w:color w:val="0E101A"/>
        </w:rPr>
        <w:t xml:space="preserve"> insulin resistance created by glycosylation of proteins in adipose tissue.</w:t>
      </w:r>
    </w:p>
    <w:p w14:paraId="4E75DFDF" w14:textId="77777777" w:rsidR="002F1423" w:rsidRDefault="002F1423">
      <w:pPr>
        <w:pStyle w:val="Default"/>
        <w:spacing w:before="0" w:line="480" w:lineRule="auto"/>
        <w:rPr>
          <w:rFonts w:ascii="Times New Roman" w:eastAsia="Times New Roman" w:hAnsi="Times New Roman" w:cs="Times New Roman"/>
          <w:color w:val="0E101A"/>
        </w:rPr>
      </w:pPr>
    </w:p>
    <w:p w14:paraId="1B1A5C7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8. Metabolic Complications: Pulmonary Hypertension</w:t>
      </w:r>
      <w:r>
        <w:rPr>
          <w:rFonts w:ascii="Times New Roman" w:hAnsi="Times New Roman"/>
          <w:color w:val="0E101A"/>
        </w:rPr>
        <w:t> </w:t>
      </w:r>
      <w:r>
        <w:rPr>
          <w:rFonts w:ascii="Times New Roman" w:hAnsi="Times New Roman"/>
          <w:b/>
          <w:bCs/>
          <w:color w:val="0E101A"/>
        </w:rPr>
        <w:t>(PAH)</w:t>
      </w:r>
    </w:p>
    <w:p w14:paraId="5D59CFC4" w14:textId="77777777" w:rsidR="002F1423" w:rsidRDefault="002F1423">
      <w:pPr>
        <w:pStyle w:val="Default"/>
        <w:spacing w:before="0" w:line="480" w:lineRule="auto"/>
        <w:rPr>
          <w:rFonts w:ascii="Times New Roman" w:eastAsia="Times New Roman" w:hAnsi="Times New Roman" w:cs="Times New Roman"/>
          <w:color w:val="0E101A"/>
        </w:rPr>
      </w:pPr>
    </w:p>
    <w:p w14:paraId="5984752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Pulmonary hypertension (PAH), an increase of pressure between the right </w:t>
      </w:r>
      <w:r>
        <w:rPr>
          <w:rFonts w:ascii="Times New Roman" w:hAnsi="Times New Roman"/>
          <w:color w:val="0E101A"/>
        </w:rPr>
        <w:t>ventricle and the lung in the pulmonary artery, remains underdiagnosed. The methods used to diagnose pulmonary hypertension are either a static measurement at heart catheterization or a potentially dynamic measurement of baseline echocardiogram measurement</w:t>
      </w:r>
      <w:r>
        <w:rPr>
          <w:rFonts w:ascii="Times New Roman" w:hAnsi="Times New Roman"/>
          <w:color w:val="0E101A"/>
        </w:rPr>
        <w:t>s that indirectly permit pulmonary artery pressure calculation. Performed as an echocardiogram exam, with the potential to do a stress echocardiogram looking at the rise of pulmonary artery pressure in exercise, confirmation of elevated pulmonary artery pr</w:t>
      </w:r>
      <w:r>
        <w:rPr>
          <w:rFonts w:ascii="Times New Roman" w:hAnsi="Times New Roman"/>
          <w:color w:val="0E101A"/>
        </w:rPr>
        <w:t>essure is common in CIRS.</w:t>
      </w:r>
      <w:r>
        <w:rPr>
          <w:rFonts w:ascii="Times New Roman" w:hAnsi="Times New Roman"/>
          <w:color w:val="0E101A"/>
          <w:vertAlign w:val="superscript"/>
        </w:rPr>
        <w:t>7</w:t>
      </w:r>
      <w:r>
        <w:rPr>
          <w:rFonts w:ascii="Times New Roman" w:hAnsi="Times New Roman"/>
          <w:color w:val="0E101A"/>
        </w:rPr>
        <w:t xml:space="preserve"> Rarely is heart catheterization performed to diagnose pulmonary hypertension; measurement of elevated systolic pressure in the pulmonary artery (PASP) is regarded as an ancillary exam when concerns about left ventricular function</w:t>
      </w:r>
      <w:r>
        <w:rPr>
          <w:rFonts w:ascii="Times New Roman" w:hAnsi="Times New Roman"/>
          <w:color w:val="0E101A"/>
        </w:rPr>
        <w:t xml:space="preserve"> are dominant. The difficulty of obtaining a stress echo to diagnose acquired pulmonary hypertension amplifies because most cardiology stress test protocols focus on left ventricular ischemia. Coronary artery disease and left ventricle function, especially</w:t>
      </w:r>
      <w:r>
        <w:rPr>
          <w:rFonts w:ascii="Times New Roman" w:hAnsi="Times New Roman"/>
          <w:color w:val="0E101A"/>
        </w:rPr>
        <w:t xml:space="preserve"> ischemia in coronary disease and ejection fraction in heart failure, are normally of much greater clinical concern to cardiologists than evaluation for PAH.</w:t>
      </w:r>
      <w:r>
        <w:rPr>
          <w:rFonts w:ascii="Times New Roman" w:hAnsi="Times New Roman"/>
          <w:color w:val="0E101A"/>
        </w:rPr>
        <w:t> </w:t>
      </w:r>
    </w:p>
    <w:p w14:paraId="499063E4" w14:textId="77777777" w:rsidR="002F1423" w:rsidRDefault="002F1423">
      <w:pPr>
        <w:pStyle w:val="Default"/>
        <w:spacing w:before="0" w:line="480" w:lineRule="auto"/>
        <w:rPr>
          <w:rFonts w:ascii="Times New Roman" w:eastAsia="Times New Roman" w:hAnsi="Times New Roman" w:cs="Times New Roman"/>
          <w:color w:val="0E101A"/>
        </w:rPr>
      </w:pPr>
    </w:p>
    <w:p w14:paraId="4354F72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During a baseline echocardiogram, the flow velocity moving backward across the </w:t>
      </w:r>
      <w:r>
        <w:rPr>
          <w:rFonts w:ascii="Times New Roman" w:hAnsi="Times New Roman"/>
          <w:color w:val="0E101A"/>
        </w:rPr>
        <w:t>tricuspid valve, called the tricuspid jet, is used to calculate pulmonary artery pressure (PASP). Taking the square of the tricuspid regurgitant velocity and multiplying that number by 4 gives us a definable idea of PAH.</w:t>
      </w:r>
    </w:p>
    <w:p w14:paraId="2D9B288E" w14:textId="77777777" w:rsidR="002F1423" w:rsidRDefault="00927F0D">
      <w:pPr>
        <w:pStyle w:val="Default"/>
        <w:spacing w:before="0" w:line="480" w:lineRule="auto"/>
        <w:jc w:val="center"/>
        <w:rPr>
          <w:rFonts w:ascii="Times New Roman" w:eastAsia="Times New Roman" w:hAnsi="Times New Roman" w:cs="Times New Roman"/>
          <w:u w:color="000000"/>
          <w14:textOutline w14:w="12700" w14:cap="flat" w14:cmpd="sng" w14:algn="ctr">
            <w14:noFill/>
            <w14:prstDash w14:val="solid"/>
            <w14:miter w14:lim="400000"/>
          </w14:textOutline>
        </w:rPr>
      </w:pPr>
      <w:r>
        <w:rPr>
          <w:rFonts w:ascii="Times New Roman" w:hAnsi="Times New Roman"/>
          <w:color w:val="0E101A"/>
          <w:u w:color="0E101A"/>
          <w14:textOutline w14:w="12700" w14:cap="flat" w14:cmpd="sng" w14:algn="ctr">
            <w14:noFill/>
            <w14:prstDash w14:val="solid"/>
            <w14:miter w14:lim="400000"/>
          </w14:textOutline>
        </w:rPr>
        <w:t>PASP = 4(V</w:t>
      </w:r>
      <w:r>
        <w:rPr>
          <w:rFonts w:ascii="Times New Roman" w:hAnsi="Times New Roman"/>
          <w:color w:val="0E101A"/>
          <w:u w:color="0E101A"/>
          <w:vertAlign w:val="subscript"/>
          <w14:textOutline w14:w="12700" w14:cap="flat" w14:cmpd="sng" w14:algn="ctr">
            <w14:noFill/>
            <w14:prstDash w14:val="solid"/>
            <w14:miter w14:lim="400000"/>
          </w14:textOutline>
        </w:rPr>
        <w:t>TR</w:t>
      </w:r>
      <w:r>
        <w:rPr>
          <w:rFonts w:ascii="Times New Roman" w:hAnsi="Times New Roman"/>
          <w:color w:val="0E101A"/>
          <w:u w:color="0E101A"/>
          <w14:textOutline w14:w="12700" w14:cap="flat" w14:cmpd="sng" w14:algn="ctr">
            <w14:noFill/>
            <w14:prstDash w14:val="solid"/>
            <w14:miter w14:lim="400000"/>
          </w14:textOutline>
        </w:rPr>
        <w:t>)</w:t>
      </w:r>
      <w:r>
        <w:rPr>
          <w:rFonts w:ascii="Times New Roman" w:hAnsi="Times New Roman"/>
          <w:color w:val="0E101A"/>
          <w:sz w:val="36"/>
          <w:szCs w:val="36"/>
          <w:u w:color="0E101A"/>
          <w:vertAlign w:val="superscript"/>
          <w14:textOutline w14:w="12700" w14:cap="flat" w14:cmpd="sng" w14:algn="ctr">
            <w14:noFill/>
            <w14:prstDash w14:val="solid"/>
            <w14:miter w14:lim="400000"/>
          </w14:textOutline>
        </w:rPr>
        <w:t>2</w:t>
      </w:r>
      <w:r>
        <w:rPr>
          <w:rFonts w:ascii="Times New Roman" w:hAnsi="Times New Roman"/>
          <w:color w:val="0E101A"/>
          <w:u w:color="0E101A"/>
          <w:vertAlign w:val="superscript"/>
          <w14:textOutline w14:w="12700" w14:cap="flat" w14:cmpd="sng" w14:algn="ctr">
            <w14:noFill/>
            <w14:prstDash w14:val="solid"/>
            <w14:miter w14:lim="400000"/>
          </w14:textOutline>
        </w:rPr>
        <w:t xml:space="preserve"> </w:t>
      </w:r>
      <w:r>
        <w:rPr>
          <w:rFonts w:ascii="Times New Roman" w:hAnsi="Times New Roman"/>
          <w:color w:val="0E101A"/>
          <w:u w:color="0E101A"/>
          <w14:textOutline w14:w="12700" w14:cap="flat" w14:cmpd="sng" w14:algn="ctr">
            <w14:noFill/>
            <w14:prstDash w14:val="solid"/>
            <w14:miter w14:lim="400000"/>
          </w14:textOutline>
        </w:rPr>
        <w:t>+ RAP</w:t>
      </w:r>
    </w:p>
    <w:p w14:paraId="346F93B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3781F1C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Adding the baseline pressure in the right atrium completes the calculated pulmonary artery pressure. For</w:t>
      </w:r>
      <w:r>
        <w:rPr>
          <w:rFonts w:ascii="Times New Roman" w:hAnsi="Times New Roman"/>
          <w:color w:val="0E101A"/>
        </w:rPr>
        <w:t xml:space="preserve"> adults, any calculation of PASP, measured in four different ways during echocardiography, was found in a 2013 study</w:t>
      </w:r>
      <w:r>
        <w:rPr>
          <w:rFonts w:ascii="Times New Roman" w:hAnsi="Times New Roman"/>
          <w:color w:val="0E101A"/>
          <w:vertAlign w:val="superscript"/>
        </w:rPr>
        <w:t>4</w:t>
      </w:r>
      <w:r>
        <w:rPr>
          <w:rFonts w:ascii="Times New Roman" w:hAnsi="Times New Roman"/>
          <w:color w:val="0E101A"/>
        </w:rPr>
        <w:t xml:space="preserve"> in nearly 50% of adults with CIRS. In the 2013 study, VIP was provided at four sprays a day (50mcg/dose). At the end of one month, if pulm</w:t>
      </w:r>
      <w:r>
        <w:rPr>
          <w:rFonts w:ascii="Times New Roman" w:hAnsi="Times New Roman"/>
          <w:color w:val="0E101A"/>
        </w:rPr>
        <w:t>onary artery pressure had not returned to normal, the dose of VIP was increased to 8 sprays a day. After two months, the dose was re-titrated to the lowest dose needed for correction.</w:t>
      </w:r>
      <w:r>
        <w:rPr>
          <w:rFonts w:ascii="Times New Roman" w:hAnsi="Times New Roman"/>
          <w:color w:val="0E101A"/>
        </w:rPr>
        <w:t> </w:t>
      </w:r>
    </w:p>
    <w:p w14:paraId="0F25182B" w14:textId="77777777" w:rsidR="002F1423" w:rsidRDefault="002F1423">
      <w:pPr>
        <w:pStyle w:val="Default"/>
        <w:spacing w:before="0" w:line="480" w:lineRule="auto"/>
        <w:rPr>
          <w:rFonts w:ascii="Times New Roman" w:eastAsia="Times New Roman" w:hAnsi="Times New Roman" w:cs="Times New Roman"/>
          <w:color w:val="0E101A"/>
        </w:rPr>
      </w:pPr>
    </w:p>
    <w:p w14:paraId="1D1CD7E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Since that study was published, there has been a surge of scholarly pu</w:t>
      </w:r>
      <w:r>
        <w:rPr>
          <w:rFonts w:ascii="Times New Roman" w:hAnsi="Times New Roman"/>
          <w:color w:val="0E101A"/>
        </w:rPr>
        <w:t>blications, notably those from Dr. John Ryan at the University of Utah Medical Center. We now know that aerobic glycolysis remains a fundamental cellular mechanism that results in PAH. In PAH, normal PASP is increased by the proliferation of endothelial ti</w:t>
      </w:r>
      <w:r>
        <w:rPr>
          <w:rFonts w:ascii="Times New Roman" w:hAnsi="Times New Roman"/>
          <w:color w:val="0E101A"/>
        </w:rPr>
        <w:t>ssue both lining blood vessels and in the middle of blood vessels, as well as by vascular stiffening, clotting in small arterials, and the presence of an inflammatory lymphocytic infiltrate. If the condition continues undetected, possibly in concert with e</w:t>
      </w:r>
      <w:r>
        <w:rPr>
          <w:rFonts w:ascii="Times New Roman" w:hAnsi="Times New Roman"/>
          <w:color w:val="0E101A"/>
        </w:rPr>
        <w:t xml:space="preserve">levated </w:t>
      </w:r>
      <w:r>
        <w:rPr>
          <w:rFonts w:ascii="Times New Roman" w:hAnsi="Times New Roman"/>
          <w:color w:val="0E101A"/>
          <w:lang w:val="pt-PT"/>
        </w:rPr>
        <w:t>TGF</w:t>
      </w:r>
      <w:r>
        <w:rPr>
          <w:rFonts w:ascii="Times New Roman" w:hAnsi="Times New Roman"/>
          <w:color w:val="0E101A"/>
        </w:rPr>
        <w:t>β</w:t>
      </w:r>
      <w:r>
        <w:rPr>
          <w:rFonts w:ascii="Times New Roman" w:hAnsi="Times New Roman"/>
          <w:color w:val="0E101A"/>
        </w:rPr>
        <w:t xml:space="preserve">-1, there will be endothelial to mesenchymal remodeling that stiffens small arterial vessels and narrows them to the point of blockage. The complications of pulmonary hypertension include right ventricular failure with a 5-year survival </w:t>
      </w:r>
      <w:r>
        <w:rPr>
          <w:rFonts w:ascii="Times New Roman" w:hAnsi="Times New Roman"/>
          <w:color w:val="0E101A"/>
        </w:rPr>
        <w:t>rate of less than 50%.</w:t>
      </w:r>
      <w:r>
        <w:rPr>
          <w:rFonts w:ascii="Times New Roman" w:hAnsi="Times New Roman"/>
          <w:color w:val="0E101A"/>
          <w:vertAlign w:val="superscript"/>
        </w:rPr>
        <w:t>54</w:t>
      </w:r>
      <w:r>
        <w:rPr>
          <w:rFonts w:ascii="Times New Roman" w:hAnsi="Times New Roman"/>
          <w:color w:val="0E101A"/>
        </w:rPr>
        <w:t> </w:t>
      </w:r>
    </w:p>
    <w:p w14:paraId="769482AD" w14:textId="77777777" w:rsidR="002F1423" w:rsidRDefault="002F1423">
      <w:pPr>
        <w:pStyle w:val="Default"/>
        <w:spacing w:before="0" w:line="480" w:lineRule="auto"/>
        <w:rPr>
          <w:rFonts w:ascii="Times New Roman" w:eastAsia="Times New Roman" w:hAnsi="Times New Roman" w:cs="Times New Roman"/>
          <w:color w:val="0E101A"/>
        </w:rPr>
      </w:pPr>
    </w:p>
    <w:p w14:paraId="3A66100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While PAH relates to toxin exposure, the role of exposure to water-damaged buildings, especially actinomycetes, is evolving. We must rule out thrombotic sources of PAH, typically pulmonary emboli when considering PAH due to proli</w:t>
      </w:r>
      <w:r>
        <w:rPr>
          <w:rFonts w:ascii="Times New Roman" w:hAnsi="Times New Roman"/>
          <w:color w:val="0E101A"/>
        </w:rPr>
        <w:t>ferative physiology.</w:t>
      </w:r>
      <w:r>
        <w:rPr>
          <w:rFonts w:ascii="Times New Roman" w:hAnsi="Times New Roman"/>
          <w:color w:val="0E101A"/>
        </w:rPr>
        <w:t> </w:t>
      </w:r>
    </w:p>
    <w:p w14:paraId="78827718" w14:textId="77777777" w:rsidR="002F1423" w:rsidRDefault="002F1423">
      <w:pPr>
        <w:pStyle w:val="Default"/>
        <w:spacing w:before="0" w:line="480" w:lineRule="auto"/>
        <w:rPr>
          <w:rFonts w:ascii="Times New Roman" w:eastAsia="Times New Roman" w:hAnsi="Times New Roman" w:cs="Times New Roman"/>
          <w:color w:val="0E101A"/>
        </w:rPr>
      </w:pPr>
    </w:p>
    <w:p w14:paraId="401FD2A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Now that we know proliferative changes resulting from aerobic glycolysis are common in CIRS, there will be demand for data on the etiology of PAH beyond interstitial lung disease, thrombosis, and inflammation. Compared to the </w:t>
      </w:r>
      <w:r>
        <w:rPr>
          <w:rFonts w:ascii="Times New Roman" w:hAnsi="Times New Roman"/>
          <w:color w:val="0E101A"/>
        </w:rPr>
        <w:t>evaluation of the Warburg effect in cancer cells, where proliferation follows increased glucose uptake, in PAH, there are more influences, especially hypoxia and inflammation, all leading to metabolic stress. The role of mitochondrial inputs, while possibl</w:t>
      </w:r>
      <w:r>
        <w:rPr>
          <w:rFonts w:ascii="Times New Roman" w:hAnsi="Times New Roman"/>
          <w:color w:val="0E101A"/>
        </w:rPr>
        <w:t>y reduced due to closure of VDAC, still includes dysregulation of ETC, leading to ferroptosis.</w:t>
      </w:r>
      <w:r>
        <w:rPr>
          <w:rFonts w:ascii="Times New Roman" w:hAnsi="Times New Roman"/>
          <w:color w:val="0E101A"/>
        </w:rPr>
        <w:t> </w:t>
      </w:r>
    </w:p>
    <w:p w14:paraId="1FE0F8C2" w14:textId="77777777" w:rsidR="002F1423" w:rsidRDefault="002F1423">
      <w:pPr>
        <w:pStyle w:val="Default"/>
        <w:spacing w:before="0" w:line="480" w:lineRule="auto"/>
        <w:rPr>
          <w:rFonts w:ascii="Times New Roman" w:eastAsia="Times New Roman" w:hAnsi="Times New Roman" w:cs="Times New Roman"/>
          <w:color w:val="0E101A"/>
        </w:rPr>
      </w:pPr>
    </w:p>
    <w:p w14:paraId="14B3E4C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rPr>
        <w:t>Oxidative stress, inflammation, and hypoxia are threefold stimuli that induce abnormalities of gene pathways involving hypoxia-induced factor 1</w:t>
      </w:r>
      <w:r>
        <w:rPr>
          <w:rFonts w:ascii="Times New Roman" w:hAnsi="Times New Roman"/>
        </w:rPr>
        <w:t>α</w:t>
      </w:r>
      <w:r>
        <w:rPr>
          <w:rFonts w:ascii="Times New Roman" w:hAnsi="Times New Roman"/>
        </w:rPr>
        <w:t xml:space="preserve">. </w:t>
      </w:r>
      <w:r>
        <w:rPr>
          <w:rFonts w:ascii="Times New Roman" w:hAnsi="Times New Roman"/>
        </w:rPr>
        <w:t>However, the metabolic complexity includes the pentose phosphate shunt, glycolytic programming, and mitochondrial-induced apoptosis.</w:t>
      </w:r>
      <w:r>
        <w:rPr>
          <w:rFonts w:ascii="Times New Roman" w:hAnsi="Times New Roman"/>
          <w:color w:val="0E101A"/>
          <w:vertAlign w:val="superscript"/>
        </w:rPr>
        <w:t>55</w:t>
      </w:r>
      <w:r>
        <w:rPr>
          <w:rFonts w:ascii="Times New Roman" w:hAnsi="Times New Roman"/>
          <w:color w:val="0E101A"/>
        </w:rPr>
        <w:t xml:space="preserve"> These pathways include the pentose phosphate pathway, glutaminolysis, iron, hemostasis, and fragmentation of mitochondria</w:t>
      </w:r>
      <w:r>
        <w:rPr>
          <w:rFonts w:ascii="Times New Roman" w:hAnsi="Times New Roman"/>
          <w:color w:val="0E101A"/>
        </w:rPr>
        <w:t xml:space="preserve"> itself. Also, abnormalities of fatty acid metabolism, stimulated in part by IRS2, as discussed previously, can be recognized by increased circulation of free fatty acids and accumulating elements that create lipotoxicity. The interaction of fatty acid oxi</w:t>
      </w:r>
      <w:r>
        <w:rPr>
          <w:rFonts w:ascii="Times New Roman" w:hAnsi="Times New Roman"/>
          <w:color w:val="0E101A"/>
        </w:rPr>
        <w:t>dation and glucose oxidation is inversely proportional, as evidenced by the function of the Randle cycle in which oxidation of fatty acids impairs glucose oxidation and vice versa.</w:t>
      </w:r>
      <w:r>
        <w:rPr>
          <w:rFonts w:ascii="Times New Roman" w:hAnsi="Times New Roman"/>
          <w:color w:val="0E101A"/>
        </w:rPr>
        <w:t> </w:t>
      </w:r>
    </w:p>
    <w:p w14:paraId="545C3F8B" w14:textId="77777777" w:rsidR="002F1423" w:rsidRDefault="002F1423">
      <w:pPr>
        <w:pStyle w:val="Default"/>
        <w:spacing w:before="0" w:line="480" w:lineRule="auto"/>
        <w:rPr>
          <w:rFonts w:ascii="Times New Roman" w:eastAsia="Times New Roman" w:hAnsi="Times New Roman" w:cs="Times New Roman"/>
          <w:color w:val="0E101A"/>
        </w:rPr>
      </w:pPr>
    </w:p>
    <w:p w14:paraId="71FE998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CIRS produces excessive use of aerobic glycolysis. The first is in pulmon</w:t>
      </w:r>
      <w:r>
        <w:rPr>
          <w:rFonts w:ascii="Times New Roman" w:hAnsi="Times New Roman"/>
          <w:color w:val="0E101A"/>
        </w:rPr>
        <w:t>ary hypertension, possibly due to toxic exposure; the second is due to deficient production of T-reg cells in a rapidly expanding pool of immune lymphocytes (see below).</w:t>
      </w:r>
    </w:p>
    <w:p w14:paraId="4F53B3D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59263D8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In pulmonary hypertension, HIF-1 dependent upregulation of pyruvate </w:t>
      </w:r>
      <w:r>
        <w:rPr>
          <w:rFonts w:ascii="Times New Roman" w:hAnsi="Times New Roman"/>
          <w:color w:val="0E101A"/>
        </w:rPr>
        <w:t>dehydrogenase kinase (PDK1 and PDK2) blocks pyruvate dehydrogenase. This blockade prevents the conversion of pyruvate to acetyl-CoA in the mitochondria, which leads to the failure of the mitochondrial electron transport chain production of ATP. The finding</w:t>
      </w:r>
      <w:r>
        <w:rPr>
          <w:rFonts w:ascii="Times New Roman" w:hAnsi="Times New Roman"/>
          <w:color w:val="0E101A"/>
        </w:rPr>
        <w:t>s in pulmonary hypertension may well involve pathways focusing on glutaminolysis, including the hexokinase and hexosaminidase pathways.</w:t>
      </w:r>
      <w:r>
        <w:rPr>
          <w:rFonts w:ascii="Times New Roman" w:hAnsi="Times New Roman"/>
          <w:color w:val="0E101A"/>
          <w:vertAlign w:val="superscript"/>
        </w:rPr>
        <w:t>56, 57, 58</w:t>
      </w:r>
    </w:p>
    <w:p w14:paraId="2B144841" w14:textId="77777777" w:rsidR="002F1423" w:rsidRDefault="002F1423">
      <w:pPr>
        <w:pStyle w:val="Default"/>
        <w:spacing w:before="0" w:line="480" w:lineRule="auto"/>
        <w:rPr>
          <w:rFonts w:ascii="Times New Roman" w:eastAsia="Times New Roman" w:hAnsi="Times New Roman" w:cs="Times New Roman"/>
          <w:color w:val="0E101A"/>
        </w:rPr>
      </w:pPr>
    </w:p>
    <w:p w14:paraId="4424AD05"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Another central question in pulmonary hypertension and, to a lesser extent, T-regulatory cell depletion is th</w:t>
      </w:r>
      <w:r>
        <w:rPr>
          <w:rFonts w:ascii="Times New Roman" w:hAnsi="Times New Roman"/>
          <w:color w:val="0E101A"/>
        </w:rPr>
        <w:t>e role of hypometabolism. In hypometabolism, with IRS2 suppression genes, there will be reduced stimulus for glycolysis, reduced GLUT-1 and GLUT-4 activity, reduced activation of the Akt pathways, reduced fatty acid oxidation, and reduced MAP kinase pathwa</w:t>
      </w:r>
      <w:r>
        <w:rPr>
          <w:rFonts w:ascii="Times New Roman" w:hAnsi="Times New Roman"/>
          <w:color w:val="0E101A"/>
        </w:rPr>
        <w:t>ys. When these factors combine with the activation of platelet beta-tubulin genes, either TUBB1 or TUBA4A, especially if combined with the upregulation of multiple coagulant genes, we are looking at a microvascular flood of glucose shunted toward prolifera</w:t>
      </w:r>
      <w:r>
        <w:rPr>
          <w:rFonts w:ascii="Times New Roman" w:hAnsi="Times New Roman"/>
          <w:color w:val="0E101A"/>
        </w:rPr>
        <w:t>tive physiology. Proliferative physiology reduces the Krebs cycle, NADH production, oxidative phosphorylation, and hexokinase and hexosaminidase pathways.</w:t>
      </w:r>
      <w:r>
        <w:rPr>
          <w:rFonts w:ascii="Times New Roman" w:hAnsi="Times New Roman"/>
          <w:color w:val="0E101A"/>
        </w:rPr>
        <w:t> </w:t>
      </w:r>
    </w:p>
    <w:p w14:paraId="4E0E76A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1BE9C1DA"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Unlike the classic Warburg Effect, </w:t>
      </w:r>
      <w:r>
        <w:rPr>
          <w:rFonts w:ascii="Times New Roman" w:hAnsi="Times New Roman"/>
        </w:rPr>
        <w:t>which activates glutaminolysis to initiate</w:t>
      </w:r>
      <w:r>
        <w:rPr>
          <w:rFonts w:ascii="Times New Roman" w:hAnsi="Times New Roman"/>
          <w:color w:val="0E101A"/>
        </w:rPr>
        <w:t xml:space="preserve"> the Krebs cycle, mol</w:t>
      </w:r>
      <w:r>
        <w:rPr>
          <w:rFonts w:ascii="Times New Roman" w:hAnsi="Times New Roman"/>
          <w:color w:val="0E101A"/>
        </w:rPr>
        <w:t>ecular hypometabolism suppresses ribosomal and mitochondrial functions and includes enhanced and reduced coagulant gene activity. The variability between Warburg Effect findings and current findings in pulmonary hypertension in CIRS patients is that we now</w:t>
      </w:r>
      <w:r>
        <w:rPr>
          <w:rFonts w:ascii="Times New Roman" w:hAnsi="Times New Roman"/>
          <w:color w:val="0E101A"/>
        </w:rPr>
        <w:t xml:space="preserve"> know that treatment of the inflammatory response will reactivate the metabolic pathways and return the patient to normal with a reduction of pulmonary artery hypertension. With the suppression of HIF-1 pathways, combined with the suppression of Akt and MA</w:t>
      </w:r>
      <w:r>
        <w:rPr>
          <w:rFonts w:ascii="Times New Roman" w:hAnsi="Times New Roman"/>
          <w:color w:val="0E101A"/>
        </w:rPr>
        <w:t>P kinase pathways, we have a prescription for the three elements needed to stimulate the production of T-regulatory cells.</w:t>
      </w:r>
      <w:r>
        <w:rPr>
          <w:rFonts w:ascii="Times New Roman" w:hAnsi="Times New Roman"/>
          <w:color w:val="0E101A"/>
          <w:vertAlign w:val="superscript"/>
        </w:rPr>
        <w:t>58</w:t>
      </w:r>
      <w:r>
        <w:rPr>
          <w:rFonts w:ascii="Times New Roman" w:hAnsi="Times New Roman"/>
          <w:color w:val="0E101A"/>
        </w:rPr>
        <w:t xml:space="preserve"> In the face of stimulation of constant bombardment of innate immune receptors with inflammagens in CIRS, an upregulation of metabol</w:t>
      </w:r>
      <w:r>
        <w:rPr>
          <w:rFonts w:ascii="Times New Roman" w:hAnsi="Times New Roman"/>
          <w:color w:val="0E101A"/>
        </w:rPr>
        <w:t>ic pathways accompanies a widened anion gap, usually due to increased capillary levels of lactic acid that must be corrected in order for pulmonary hypertension itself to be corrected.</w:t>
      </w:r>
      <w:r>
        <w:rPr>
          <w:rFonts w:ascii="Times New Roman" w:hAnsi="Times New Roman"/>
          <w:color w:val="0E101A"/>
        </w:rPr>
        <w:t> </w:t>
      </w:r>
    </w:p>
    <w:p w14:paraId="71BE86FC" w14:textId="77777777" w:rsidR="002F1423" w:rsidRDefault="002F1423">
      <w:pPr>
        <w:pStyle w:val="Default"/>
        <w:spacing w:before="0" w:line="480" w:lineRule="auto"/>
        <w:rPr>
          <w:rFonts w:ascii="Times New Roman" w:eastAsia="Times New Roman" w:hAnsi="Times New Roman" w:cs="Times New Roman"/>
          <w:color w:val="0E101A"/>
        </w:rPr>
      </w:pPr>
    </w:p>
    <w:p w14:paraId="354D53A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 common path of physiologic features includes endothelial dysfunctio</w:t>
      </w:r>
      <w:r>
        <w:rPr>
          <w:rFonts w:ascii="Times New Roman" w:hAnsi="Times New Roman"/>
          <w:color w:val="0E101A"/>
        </w:rPr>
        <w:t xml:space="preserve">n, excessive proliferation, impaired apoptosis of vascular cells, and mitochondrial fragmentation. The proliferation/apoptosis imbalance relates to the activation of transcription factors, </w:t>
      </w:r>
      <w:r>
        <w:rPr>
          <w:rFonts w:ascii="Times New Roman" w:hAnsi="Times New Roman"/>
        </w:rPr>
        <w:t>hypoxia-inducible factor-1</w:t>
      </w:r>
      <w:r>
        <w:rPr>
          <w:rFonts w:ascii="Times New Roman" w:hAnsi="Times New Roman"/>
        </w:rPr>
        <w:t>α</w:t>
      </w:r>
      <w:r>
        <w:rPr>
          <w:rFonts w:ascii="Times New Roman" w:hAnsi="Times New Roman"/>
        </w:rPr>
        <w:t>,</w:t>
      </w:r>
      <w:r>
        <w:rPr>
          <w:rFonts w:ascii="Times New Roman" w:hAnsi="Times New Roman"/>
          <w:color w:val="0E101A"/>
        </w:rPr>
        <w:t xml:space="preserve"> nuclear factor of activated T-cells (NFAT), and apoptosis. Pulmonary hypertension also occurs due to the peripheral inflammatory disruption of adventitial connective tissue and a glycolytic metabolic shift in vascular cells and right ventricular myocytes.</w:t>
      </w:r>
      <w:r>
        <w:rPr>
          <w:rFonts w:ascii="Times New Roman" w:hAnsi="Times New Roman"/>
          <w:color w:val="0E101A"/>
        </w:rPr>
        <w:t xml:space="preserve"> These are also seen in target tissue in the right ventricle and skeletal muscle, reflecting the systemic nature</w:t>
      </w:r>
      <w:r>
        <w:rPr>
          <w:rFonts w:ascii="Times New Roman" w:hAnsi="Times New Roman"/>
          <w:color w:val="B51700"/>
        </w:rPr>
        <w:t xml:space="preserve"> </w:t>
      </w:r>
      <w:r>
        <w:rPr>
          <w:rFonts w:ascii="Times New Roman" w:hAnsi="Times New Roman"/>
          <w:color w:val="0E101A"/>
        </w:rPr>
        <w:t>of not just glycolysis but the entire metabolic shift driven by nuclear transcription factors. Pulmonary arterial hypertension is an obstructiv</w:t>
      </w:r>
      <w:r>
        <w:rPr>
          <w:rFonts w:ascii="Times New Roman" w:hAnsi="Times New Roman"/>
          <w:color w:val="0E101A"/>
        </w:rPr>
        <w:t>e pulmonary vasculopathy characterized by excessive proliferation and apoptosis-resistant inflammation.</w:t>
      </w:r>
      <w:r>
        <w:rPr>
          <w:rFonts w:ascii="Times New Roman" w:hAnsi="Times New Roman"/>
          <w:color w:val="0E101A"/>
          <w:vertAlign w:val="superscript"/>
        </w:rPr>
        <w:t>59</w:t>
      </w:r>
    </w:p>
    <w:p w14:paraId="728E187C" w14:textId="77777777" w:rsidR="002F1423" w:rsidRDefault="002F1423">
      <w:pPr>
        <w:pStyle w:val="Default"/>
        <w:spacing w:before="0" w:line="480" w:lineRule="auto"/>
        <w:rPr>
          <w:rFonts w:ascii="Times New Roman" w:eastAsia="Times New Roman" w:hAnsi="Times New Roman" w:cs="Times New Roman"/>
          <w:color w:val="0E101A"/>
        </w:rPr>
      </w:pPr>
    </w:p>
    <w:p w14:paraId="504E347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Fortunately, the treatment protocol discussed earlier with each of the 12 steps effectively corrects hypometabolism, stops the Warburg Effect, permit</w:t>
      </w:r>
      <w:r>
        <w:rPr>
          <w:rFonts w:ascii="Times New Roman" w:hAnsi="Times New Roman"/>
          <w:color w:val="0E101A"/>
        </w:rPr>
        <w:t>s correction of pulmonary hypertension, permits restoration of T-cell populations, blocks metabolic acidosis, and begins the process of neuronal healing. All these benefits happen from using a measurement of molecular hypometabolism in gene activation by a</w:t>
      </w:r>
      <w:r>
        <w:rPr>
          <w:rFonts w:ascii="Times New Roman" w:hAnsi="Times New Roman"/>
          <w:color w:val="0E101A"/>
        </w:rPr>
        <w:t>pplying transcriptomic testing.</w:t>
      </w:r>
    </w:p>
    <w:p w14:paraId="633EECBA" w14:textId="77777777" w:rsidR="002F1423" w:rsidRDefault="002F1423">
      <w:pPr>
        <w:pStyle w:val="Default"/>
        <w:spacing w:before="0" w:line="480" w:lineRule="auto"/>
        <w:rPr>
          <w:rFonts w:ascii="Times New Roman" w:eastAsia="Times New Roman" w:hAnsi="Times New Roman" w:cs="Times New Roman"/>
          <w:color w:val="0E101A"/>
        </w:rPr>
      </w:pPr>
    </w:p>
    <w:p w14:paraId="000C8A5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 xml:space="preserve">8.1 Gamma Interferon Activated Inhibitor of Translation Complex (GAIT) is </w:t>
      </w:r>
      <w:r>
        <w:rPr>
          <w:rFonts w:ascii="Times New Roman" w:hAnsi="Times New Roman"/>
          <w:b/>
          <w:bCs/>
          <w:color w:val="0E101A"/>
        </w:rPr>
        <w:tab/>
      </w:r>
      <w:r>
        <w:rPr>
          <w:rFonts w:ascii="Times New Roman" w:hAnsi="Times New Roman"/>
          <w:b/>
          <w:bCs/>
          <w:color w:val="0E101A"/>
        </w:rPr>
        <w:tab/>
        <w:t xml:space="preserve">      One of Many Biologic Controls on Inflammation</w:t>
      </w:r>
    </w:p>
    <w:p w14:paraId="7C230ABB" w14:textId="77777777" w:rsidR="002F1423" w:rsidRDefault="002F1423">
      <w:pPr>
        <w:pStyle w:val="Default"/>
        <w:spacing w:before="0" w:line="480" w:lineRule="auto"/>
        <w:rPr>
          <w:rFonts w:ascii="Times New Roman" w:eastAsia="Times New Roman" w:hAnsi="Times New Roman" w:cs="Times New Roman"/>
          <w:color w:val="0E101A"/>
        </w:rPr>
      </w:pPr>
    </w:p>
    <w:p w14:paraId="675FA8C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gamma interferon activated inhibitor of translation complex (GAIT) consists of four elements (glutamyl-prolyl-tRNA synthase); NS1-associated protein 1 (NSAP1); ribosomal protein L13a, and glyceraldehyde-3-phosphate dehydrogenase </w:t>
      </w:r>
      <w:r>
        <w:rPr>
          <w:rFonts w:ascii="Times New Roman" w:hAnsi="Times New Roman"/>
          <w:lang w:val="fr-FR"/>
        </w:rPr>
        <w:t>(GAPDH)</w:t>
      </w:r>
      <w:r>
        <w:rPr>
          <w:rFonts w:ascii="Times New Roman" w:hAnsi="Times New Roman"/>
          <w:color w:val="0E101A"/>
        </w:rPr>
        <w:t>.</w:t>
      </w:r>
      <w:r>
        <w:rPr>
          <w:rFonts w:ascii="Times New Roman" w:hAnsi="Times New Roman"/>
          <w:color w:val="0E101A"/>
          <w:vertAlign w:val="superscript"/>
        </w:rPr>
        <w:t>60</w:t>
      </w:r>
      <w:r>
        <w:rPr>
          <w:rFonts w:ascii="Times New Roman" w:hAnsi="Times New Roman"/>
          <w:color w:val="0E101A"/>
        </w:rPr>
        <w:t xml:space="preserve"> Perhaps no o</w:t>
      </w:r>
      <w:r>
        <w:rPr>
          <w:rFonts w:ascii="Times New Roman" w:hAnsi="Times New Roman"/>
          <w:color w:val="0E101A"/>
        </w:rPr>
        <w:t>ther feedback system exemplifies the tightly regulated interactions between inflammation and metabolism than GAIT. This grouping can bind to translation regions of given inflammation genes, including VEGF, to inhibit their translation. While there are diff</w:t>
      </w:r>
      <w:r>
        <w:rPr>
          <w:rFonts w:ascii="Times New Roman" w:hAnsi="Times New Roman"/>
          <w:color w:val="0E101A"/>
        </w:rPr>
        <w:t>erences in the inflammatory response between mice and humans, the well-described regulatory GAIT system in mice is similar to the less well-described human GAIT system.</w:t>
      </w:r>
      <w:r>
        <w:rPr>
          <w:rFonts w:ascii="Times New Roman" w:hAnsi="Times New Roman"/>
          <w:color w:val="0E101A"/>
          <w:vertAlign w:val="superscript"/>
        </w:rPr>
        <w:t>61</w:t>
      </w:r>
      <w:r>
        <w:rPr>
          <w:rFonts w:ascii="Times New Roman" w:hAnsi="Times New Roman"/>
          <w:color w:val="0E101A"/>
        </w:rPr>
        <w:t> </w:t>
      </w:r>
    </w:p>
    <w:p w14:paraId="5BDC0502" w14:textId="77777777" w:rsidR="002F1423" w:rsidRDefault="002F1423">
      <w:pPr>
        <w:pStyle w:val="Default"/>
        <w:spacing w:before="0" w:line="480" w:lineRule="auto"/>
        <w:rPr>
          <w:rFonts w:ascii="Times New Roman" w:eastAsia="Times New Roman" w:hAnsi="Times New Roman" w:cs="Times New Roman"/>
          <w:color w:val="0E101A"/>
        </w:rPr>
      </w:pPr>
    </w:p>
    <w:p w14:paraId="22B90894"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GAIT is an extraordinary complex negative feedback regulation system that helps slow down the over-translation of inflammatory genes. Moreover, it acts as an additional mechanism to slow down glycolysis by removing GAPDH from the pathway of conversion of g</w:t>
      </w:r>
      <w:r>
        <w:rPr>
          <w:rFonts w:ascii="Times New Roman" w:hAnsi="Times New Roman"/>
          <w:color w:val="0E101A"/>
        </w:rPr>
        <w:t xml:space="preserve">lucose to pyruvate. By blocking pyruvate production, the cell can avoid producing lactic acid when problems with molecular hypometabolism affect mitochondrial pathways, </w:t>
      </w:r>
      <w:r>
        <w:rPr>
          <w:rFonts w:ascii="Times New Roman" w:hAnsi="Times New Roman"/>
        </w:rPr>
        <w:t>including the Krebs cycle and</w:t>
      </w:r>
      <w:r>
        <w:rPr>
          <w:rFonts w:ascii="Times New Roman" w:hAnsi="Times New Roman"/>
          <w:lang w:val="pt-PT"/>
        </w:rPr>
        <w:t xml:space="preserve"> ETC. </w:t>
      </w:r>
      <w:r>
        <w:rPr>
          <w:rFonts w:ascii="Times New Roman" w:hAnsi="Times New Roman"/>
          <w:color w:val="0E101A"/>
        </w:rPr>
        <w:t>Specifically, in the absence of normal production of</w:t>
      </w:r>
      <w:r>
        <w:rPr>
          <w:rFonts w:ascii="Times New Roman" w:hAnsi="Times New Roman"/>
          <w:color w:val="0E101A"/>
        </w:rPr>
        <w:t xml:space="preserve"> mitochondrial membrane translocases, it teleologically serves the cell well to </w:t>
      </w:r>
      <w:r>
        <w:rPr>
          <w:rFonts w:ascii="Times New Roman" w:hAnsi="Times New Roman"/>
          <w:color w:val="0E101A"/>
        </w:rPr>
        <w:t>“</w:t>
      </w:r>
      <w:r>
        <w:rPr>
          <w:rFonts w:ascii="Times New Roman" w:hAnsi="Times New Roman"/>
          <w:color w:val="0E101A"/>
          <w:lang w:val="it-IT"/>
        </w:rPr>
        <w:t>hibernate,</w:t>
      </w:r>
      <w:r>
        <w:rPr>
          <w:rFonts w:ascii="Times New Roman" w:hAnsi="Times New Roman"/>
          <w:color w:val="0E101A"/>
        </w:rPr>
        <w:t>”</w:t>
      </w:r>
      <w:r>
        <w:rPr>
          <w:rFonts w:ascii="Times New Roman" w:hAnsi="Times New Roman"/>
          <w:color w:val="0E101A"/>
        </w:rPr>
        <w:t xml:space="preserve"> reducing inflammation and reducing the creation of pyruvate until the hypometabolism resolves.</w:t>
      </w:r>
      <w:r>
        <w:rPr>
          <w:rFonts w:ascii="Times New Roman" w:hAnsi="Times New Roman"/>
          <w:color w:val="0E101A"/>
        </w:rPr>
        <w:t> </w:t>
      </w:r>
    </w:p>
    <w:p w14:paraId="2F8AC9FE" w14:textId="77777777" w:rsidR="002F1423" w:rsidRDefault="002F1423">
      <w:pPr>
        <w:pStyle w:val="Default"/>
        <w:spacing w:before="0" w:line="480" w:lineRule="auto"/>
        <w:rPr>
          <w:rFonts w:ascii="Times New Roman" w:eastAsia="Times New Roman" w:hAnsi="Times New Roman" w:cs="Times New Roman"/>
          <w:color w:val="0E101A"/>
        </w:rPr>
      </w:pPr>
    </w:p>
    <w:p w14:paraId="7A73DFE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GAIT proteins are metabolically expensive to produce and operate. Gamma interferon activates kinases in multiple discrete steps by which a phosphate group</w:t>
      </w:r>
      <w:r>
        <w:rPr>
          <w:rFonts w:ascii="Times New Roman" w:hAnsi="Times New Roman"/>
          <w:color w:val="0E101A"/>
        </w:rPr>
        <w:t xml:space="preserve"> is placed on specific amino acids (usually serine or threonine) to change protein structure and function. By linking interferon, produced as a result of inflammation</w:t>
      </w:r>
      <w:r>
        <w:rPr>
          <w:rFonts w:ascii="Times New Roman" w:hAnsi="Times New Roman"/>
        </w:rPr>
        <w:t xml:space="preserve">, </w:t>
      </w:r>
      <w:r>
        <w:rPr>
          <w:rFonts w:ascii="Times New Roman" w:hAnsi="Times New Roman"/>
        </w:rPr>
        <w:t>that controls glycolysis</w:t>
      </w:r>
      <w:r>
        <w:rPr>
          <w:rFonts w:ascii="Times New Roman" w:hAnsi="Times New Roman"/>
        </w:rPr>
        <w:t>,</w:t>
      </w:r>
      <w:r>
        <w:rPr>
          <w:rFonts w:ascii="Times New Roman" w:hAnsi="Times New Roman"/>
          <w:color w:val="0E101A"/>
        </w:rPr>
        <w:t xml:space="preserve"> together with a mechanism to control the initiation of protein synthesis, the cell obtains the ability to </w:t>
      </w:r>
      <w:r>
        <w:rPr>
          <w:rFonts w:ascii="Times New Roman" w:hAnsi="Times New Roman"/>
        </w:rPr>
        <w:t>handle</w:t>
      </w:r>
      <w:r>
        <w:rPr>
          <w:rFonts w:ascii="Times New Roman" w:hAnsi="Times New Roman"/>
          <w:color w:val="0E101A"/>
        </w:rPr>
        <w:t xml:space="preserve"> the potential for multiple adverse effects caused by inflammation.</w:t>
      </w:r>
      <w:r>
        <w:rPr>
          <w:rFonts w:ascii="Times New Roman" w:hAnsi="Times New Roman"/>
          <w:color w:val="0E101A"/>
          <w:vertAlign w:val="superscript"/>
        </w:rPr>
        <w:t>61</w:t>
      </w:r>
    </w:p>
    <w:p w14:paraId="4A617776" w14:textId="77777777" w:rsidR="002F1423" w:rsidRDefault="002F1423">
      <w:pPr>
        <w:pStyle w:val="Default"/>
        <w:spacing w:before="0" w:line="480" w:lineRule="auto"/>
        <w:rPr>
          <w:rFonts w:ascii="Times New Roman" w:eastAsia="Times New Roman" w:hAnsi="Times New Roman" w:cs="Times New Roman"/>
          <w:color w:val="0E101A"/>
        </w:rPr>
      </w:pPr>
    </w:p>
    <w:p w14:paraId="1830BBE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It is instructive to note that levels of plasma VEGF in CIRS cases fall </w:t>
      </w:r>
      <w:r>
        <w:rPr>
          <w:rFonts w:ascii="Times New Roman" w:hAnsi="Times New Roman"/>
          <w:color w:val="0E101A"/>
        </w:rPr>
        <w:t>into three groups: suppressed, over-expressed, and no different from controls.</w:t>
      </w:r>
      <w:r>
        <w:rPr>
          <w:rFonts w:ascii="Times New Roman" w:hAnsi="Times New Roman"/>
          <w:color w:val="0E101A"/>
          <w:vertAlign w:val="superscript"/>
        </w:rPr>
        <w:t>4</w:t>
      </w:r>
      <w:r>
        <w:rPr>
          <w:rFonts w:ascii="Times New Roman" w:hAnsi="Times New Roman"/>
          <w:color w:val="0E101A"/>
        </w:rPr>
        <w:t xml:space="preserve"> Each result is approximately 33% in prevalence for VEGF in CIRS cases. VEGF increases following interferon-gamma treatment within 8 hours but, by 24 hours, has returned to basa</w:t>
      </w:r>
      <w:r>
        <w:rPr>
          <w:rFonts w:ascii="Times New Roman" w:hAnsi="Times New Roman"/>
          <w:color w:val="0E101A"/>
        </w:rPr>
        <w:t>l levels. We see this phenomenon in the repetitive exposure protocol called SAIIE (sequential activation of innate immune elements). O</w:t>
      </w:r>
      <w:r>
        <w:rPr>
          <w:rFonts w:ascii="Times New Roman" w:hAnsi="Times New Roman"/>
          <w:color w:val="0E101A"/>
        </w:rPr>
        <w:t>n day one of re-exposure, VEGF levels rise rapidly only to fall by day 3 to nadir. The mechanism here is translational sil</w:t>
      </w:r>
      <w:r>
        <w:rPr>
          <w:rFonts w:ascii="Times New Roman" w:hAnsi="Times New Roman"/>
          <w:color w:val="0E101A"/>
        </w:rPr>
        <w:t>encing by the GAIT system of VEGF.</w:t>
      </w:r>
      <w:r>
        <w:rPr>
          <w:rFonts w:ascii="Times New Roman" w:hAnsi="Times New Roman"/>
          <w:color w:val="0E101A"/>
        </w:rPr>
        <w:t> </w:t>
      </w:r>
    </w:p>
    <w:p w14:paraId="20A5D5E1" w14:textId="77777777" w:rsidR="002F1423" w:rsidRDefault="002F1423">
      <w:pPr>
        <w:pStyle w:val="Default"/>
        <w:spacing w:before="0" w:line="480" w:lineRule="auto"/>
        <w:rPr>
          <w:rFonts w:ascii="Times New Roman" w:eastAsia="Times New Roman" w:hAnsi="Times New Roman" w:cs="Times New Roman"/>
          <w:color w:val="0E101A"/>
        </w:rPr>
      </w:pPr>
    </w:p>
    <w:p w14:paraId="150AD25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There are GAIT effects on other genes of uncertain influence on the progression of CIRS, including ZIPK, CDK5, and ceruloplasmin. DIPK and ZIPK are similar to housekeeping genes in that they mediate </w:t>
      </w:r>
      <w:r>
        <w:rPr>
          <w:rFonts w:ascii="Times New Roman" w:hAnsi="Times New Roman"/>
          <w:color w:val="0E101A"/>
        </w:rPr>
        <w:t>phosphorylation of the protein L13a, therefore functioning as GAIT internal regulatory elements.</w:t>
      </w:r>
      <w:r>
        <w:rPr>
          <w:rFonts w:ascii="Times New Roman" w:hAnsi="Times New Roman"/>
          <w:color w:val="0E101A"/>
          <w:vertAlign w:val="superscript"/>
        </w:rPr>
        <w:t>62</w:t>
      </w:r>
    </w:p>
    <w:p w14:paraId="5B34E10C" w14:textId="77777777" w:rsidR="002F1423" w:rsidRDefault="002F1423">
      <w:pPr>
        <w:pStyle w:val="Default"/>
        <w:spacing w:before="0" w:line="480" w:lineRule="auto"/>
        <w:rPr>
          <w:rFonts w:ascii="Times New Roman" w:eastAsia="Times New Roman" w:hAnsi="Times New Roman" w:cs="Times New Roman"/>
          <w:color w:val="0E101A"/>
        </w:rPr>
      </w:pPr>
    </w:p>
    <w:p w14:paraId="16AA6A18"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b/>
          <w:bCs/>
          <w:color w:val="0E101A"/>
        </w:rPr>
        <w:t>8.2 Myeloid Cells</w:t>
      </w:r>
      <w:r>
        <w:rPr>
          <w:rFonts w:ascii="Times New Roman" w:hAnsi="Times New Roman"/>
          <w:color w:val="0E101A"/>
        </w:rPr>
        <w:t> </w:t>
      </w:r>
    </w:p>
    <w:p w14:paraId="22B4E14E" w14:textId="77777777" w:rsidR="002F1423" w:rsidRDefault="002F1423">
      <w:pPr>
        <w:pStyle w:val="Default"/>
        <w:spacing w:before="0" w:line="480" w:lineRule="auto"/>
        <w:rPr>
          <w:rFonts w:ascii="Times New Roman" w:eastAsia="Times New Roman" w:hAnsi="Times New Roman" w:cs="Times New Roman"/>
          <w:color w:val="0E101A"/>
        </w:rPr>
      </w:pPr>
    </w:p>
    <w:p w14:paraId="103424D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 CIRS, we see the diverse metabolic effects of myeloid cells during innate immune responses</w:t>
      </w:r>
      <w:r>
        <w:rPr>
          <w:rFonts w:ascii="Times New Roman" w:hAnsi="Times New Roman"/>
          <w:color w:val="0E101A"/>
          <w:vertAlign w:val="superscript"/>
        </w:rPr>
        <w:t>63</w:t>
      </w:r>
      <w:r>
        <w:rPr>
          <w:rFonts w:ascii="Times New Roman" w:hAnsi="Times New Roman"/>
          <w:color w:val="0E101A"/>
        </w:rPr>
        <w:t xml:space="preserve">. First studied in a Toll 4, CD14 system looking at the programming of myeloid cells following endotoxin exposure, thought to replicate in other toxin exposures initially, is now showing the remarkable diversity of </w:t>
      </w:r>
      <w:r>
        <w:rPr>
          <w:rFonts w:ascii="Times New Roman" w:hAnsi="Times New Roman"/>
          <w:color w:val="0E101A"/>
        </w:rPr>
        <w:t>“</w:t>
      </w:r>
      <w:r>
        <w:rPr>
          <w:rFonts w:ascii="Times New Roman" w:hAnsi="Times New Roman"/>
          <w:color w:val="0E101A"/>
        </w:rPr>
        <w:t>rewiring</w:t>
      </w:r>
      <w:r>
        <w:rPr>
          <w:rFonts w:ascii="Times New Roman" w:hAnsi="Times New Roman"/>
          <w:color w:val="0E101A"/>
        </w:rPr>
        <w:t>”</w:t>
      </w:r>
      <w:r>
        <w:rPr>
          <w:rFonts w:ascii="Times New Roman" w:hAnsi="Times New Roman"/>
          <w:color w:val="0E101A"/>
        </w:rPr>
        <w:t xml:space="preserve"> that takes place after a diver</w:t>
      </w:r>
      <w:r>
        <w:rPr>
          <w:rFonts w:ascii="Times New Roman" w:hAnsi="Times New Roman"/>
          <w:color w:val="0E101A"/>
        </w:rPr>
        <w:t>sity of exposures.</w:t>
      </w:r>
      <w:r>
        <w:rPr>
          <w:rFonts w:ascii="Times New Roman" w:hAnsi="Times New Roman"/>
          <w:color w:val="0E101A"/>
          <w:vertAlign w:val="superscript"/>
        </w:rPr>
        <w:t>63</w:t>
      </w:r>
      <w:r>
        <w:rPr>
          <w:rFonts w:ascii="Times New Roman" w:hAnsi="Times New Roman"/>
          <w:color w:val="0E101A"/>
        </w:rPr>
        <w:t xml:space="preserve"> This emerging field, called immunometabolism, is now a problem in innate immune responses, specifically increasing the availability of small molecules which can manipulate a diverse array of metabolic roots.</w:t>
      </w:r>
      <w:r>
        <w:rPr>
          <w:rFonts w:ascii="Times New Roman" w:hAnsi="Times New Roman"/>
          <w:color w:val="0E101A"/>
        </w:rPr>
        <w:t> </w:t>
      </w:r>
    </w:p>
    <w:p w14:paraId="3B76D640" w14:textId="77777777" w:rsidR="002F1423" w:rsidRDefault="002F1423">
      <w:pPr>
        <w:pStyle w:val="Default"/>
        <w:spacing w:before="0" w:line="480" w:lineRule="auto"/>
        <w:rPr>
          <w:rFonts w:ascii="Times New Roman" w:eastAsia="Times New Roman" w:hAnsi="Times New Roman" w:cs="Times New Roman"/>
          <w:color w:val="0E101A"/>
        </w:rPr>
      </w:pPr>
    </w:p>
    <w:p w14:paraId="59063648" w14:textId="77777777" w:rsidR="002F1423" w:rsidRDefault="00927F0D">
      <w:pPr>
        <w:pStyle w:val="Default"/>
        <w:spacing w:before="0" w:line="480" w:lineRule="auto"/>
        <w:rPr>
          <w:rFonts w:ascii="Times New Roman" w:eastAsia="Times New Roman" w:hAnsi="Times New Roman" w:cs="Times New Roman"/>
        </w:rPr>
      </w:pPr>
      <w:r>
        <w:rPr>
          <w:rFonts w:ascii="Times New Roman" w:hAnsi="Times New Roman"/>
        </w:rPr>
        <w:t xml:space="preserve">Cellular metabolic pathways may serve three major functions: </w:t>
      </w:r>
    </w:p>
    <w:p w14:paraId="5E5D4A9C" w14:textId="77777777" w:rsidR="002F1423" w:rsidRDefault="00927F0D">
      <w:pPr>
        <w:pStyle w:val="Default"/>
        <w:numPr>
          <w:ilvl w:val="0"/>
          <w:numId w:val="10"/>
        </w:numPr>
        <w:spacing w:before="0" w:line="480" w:lineRule="auto"/>
        <w:rPr>
          <w:rFonts w:ascii="Times New Roman" w:hAnsi="Times New Roman"/>
        </w:rPr>
      </w:pPr>
      <w:r>
        <w:rPr>
          <w:rFonts w:ascii="Times New Roman" w:hAnsi="Times New Roman"/>
        </w:rPr>
        <w:t xml:space="preserve">generation of energy, </w:t>
      </w:r>
    </w:p>
    <w:p w14:paraId="3C043670" w14:textId="77777777" w:rsidR="002F1423" w:rsidRDefault="00927F0D">
      <w:pPr>
        <w:pStyle w:val="Default"/>
        <w:numPr>
          <w:ilvl w:val="0"/>
          <w:numId w:val="2"/>
        </w:numPr>
        <w:spacing w:before="0" w:line="480" w:lineRule="auto"/>
        <w:rPr>
          <w:rFonts w:ascii="Times New Roman" w:hAnsi="Times New Roman"/>
        </w:rPr>
      </w:pPr>
      <w:r>
        <w:rPr>
          <w:rFonts w:ascii="Times New Roman" w:hAnsi="Times New Roman"/>
        </w:rPr>
        <w:t xml:space="preserve">production of building blocks necessary for cellular maintenance, and </w:t>
      </w:r>
    </w:p>
    <w:p w14:paraId="08A93285"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rPr>
        <w:t>proliferation and modulation of cellular signaling.</w:t>
      </w:r>
      <w:r>
        <w:rPr>
          <w:rFonts w:ascii="Times New Roman" w:hAnsi="Times New Roman"/>
          <w:color w:val="0E101A"/>
        </w:rPr>
        <w:t> </w:t>
      </w:r>
    </w:p>
    <w:p w14:paraId="5E03C4E6" w14:textId="77777777" w:rsidR="002F1423" w:rsidRDefault="00927F0D">
      <w:pPr>
        <w:pStyle w:val="Default"/>
        <w:spacing w:before="0" w:line="480" w:lineRule="auto"/>
        <w:rPr>
          <w:rFonts w:ascii="Times New Roman" w:eastAsia="Times New Roman" w:hAnsi="Times New Roman" w:cs="Times New Roman"/>
          <w:color w:val="0E101A"/>
          <w:vertAlign w:val="superscript"/>
        </w:rPr>
      </w:pPr>
      <w:r>
        <w:rPr>
          <w:rFonts w:ascii="Times New Roman" w:hAnsi="Times New Roman"/>
        </w:rPr>
        <w:t>Immune cells in forced stimulation are not acti</w:t>
      </w:r>
      <w:r>
        <w:rPr>
          <w:rFonts w:ascii="Times New Roman" w:hAnsi="Times New Roman"/>
        </w:rPr>
        <w:t>vated to either proliferate or increase uptake of nutrients. Following antigen presentation to myeloid cells, there is a need to rapidly expand the myeloid cell population. Building blocks, including nucleotides and lipids, are generated by repurposing met</w:t>
      </w:r>
      <w:r>
        <w:rPr>
          <w:rFonts w:ascii="Times New Roman" w:hAnsi="Times New Roman"/>
        </w:rPr>
        <w:t xml:space="preserve">abolic pathways. </w:t>
      </w:r>
      <w:r>
        <w:rPr>
          <w:rFonts w:ascii="Times New Roman" w:hAnsi="Times New Roman"/>
          <w:color w:val="0E101A"/>
        </w:rPr>
        <w:t>As the immune cell population selectively expands, new signaling molecules organize the inflammatory response.</w:t>
      </w:r>
      <w:r>
        <w:rPr>
          <w:rFonts w:ascii="Times New Roman" w:hAnsi="Times New Roman"/>
          <w:color w:val="0E101A"/>
          <w:vertAlign w:val="superscript"/>
        </w:rPr>
        <w:t xml:space="preserve">63 </w:t>
      </w:r>
    </w:p>
    <w:p w14:paraId="51A58851" w14:textId="77777777" w:rsidR="002F1423" w:rsidRDefault="002F1423">
      <w:pPr>
        <w:pStyle w:val="Default"/>
        <w:spacing w:before="0" w:line="480" w:lineRule="auto"/>
        <w:rPr>
          <w:rFonts w:ascii="Times New Roman" w:eastAsia="Times New Roman" w:hAnsi="Times New Roman" w:cs="Times New Roman"/>
          <w:color w:val="0E101A"/>
          <w:vertAlign w:val="superscript"/>
        </w:rPr>
      </w:pPr>
    </w:p>
    <w:p w14:paraId="566B605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As expected, aerobic glycolysis coincides with the rapid expansion of cell lines. In the presence of pyruvate </w:t>
      </w:r>
      <w:r>
        <w:rPr>
          <w:rFonts w:ascii="Times New Roman" w:hAnsi="Times New Roman"/>
          <w:color w:val="0E101A"/>
        </w:rPr>
        <w:t>dehydrogenase kinase, there will be suppression of the Krebs cycle, reducing the production of acetyl-CoA (and, therefore, lipids from citrate).</w:t>
      </w:r>
      <w:r>
        <w:rPr>
          <w:rFonts w:ascii="Times New Roman" w:hAnsi="Times New Roman"/>
          <w:color w:val="0E101A"/>
        </w:rPr>
        <w:t>  </w:t>
      </w:r>
      <w:r>
        <w:rPr>
          <w:rFonts w:ascii="Times New Roman" w:hAnsi="Times New Roman"/>
          <w:color w:val="0E101A"/>
        </w:rPr>
        <w:t>Much of the evidence involved with the metabolism of myeloid cell activation comes from stimulation of toll re</w:t>
      </w:r>
      <w:r>
        <w:rPr>
          <w:rFonts w:ascii="Times New Roman" w:hAnsi="Times New Roman"/>
          <w:color w:val="0E101A"/>
        </w:rPr>
        <w:t>ceptor 4 (TLR4) by bacterial endotoxin, lipopolysaccharide (LPS).</w:t>
      </w:r>
      <w:r>
        <w:rPr>
          <w:rFonts w:ascii="Times New Roman" w:hAnsi="Times New Roman"/>
          <w:color w:val="0E101A"/>
        </w:rPr>
        <w:t> </w:t>
      </w:r>
    </w:p>
    <w:p w14:paraId="705AFBE8" w14:textId="77777777" w:rsidR="002F1423" w:rsidRDefault="002F1423">
      <w:pPr>
        <w:pStyle w:val="Default"/>
        <w:spacing w:before="0" w:line="480" w:lineRule="auto"/>
        <w:rPr>
          <w:rFonts w:ascii="Times New Roman" w:eastAsia="Times New Roman" w:hAnsi="Times New Roman" w:cs="Times New Roman"/>
          <w:color w:val="0E101A"/>
        </w:rPr>
      </w:pPr>
    </w:p>
    <w:p w14:paraId="6D7EF67A"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As discussed previously in this chapter on aerobic glycolysis, this is the function of the rapidly expanding cell lines. New data suggests that in addition to increasing the rate of glycol</w:t>
      </w:r>
      <w:r>
        <w:rPr>
          <w:rFonts w:ascii="Times New Roman" w:hAnsi="Times New Roman"/>
          <w:color w:val="0E101A"/>
        </w:rPr>
        <w:t>ysis, there are additional metabolic signatures in myeloid cells separate from the Warburg Effect. The diversity of metabolic responses in myeloid cells is remarkably conserved. One of the mechanisms for long-term reduction of innate immune memory involves</w:t>
      </w:r>
      <w:r>
        <w:rPr>
          <w:rFonts w:ascii="Times New Roman" w:hAnsi="Times New Roman"/>
          <w:color w:val="0E101A"/>
        </w:rPr>
        <w:t xml:space="preserve"> epigenetic changes involving methylation and demethylation, or acetylation of histones or deacetylation of histones. These epigenetic findings can impact Krebs cycle physiology and differential gene activation.</w:t>
      </w:r>
      <w:r>
        <w:rPr>
          <w:rFonts w:ascii="Times New Roman" w:hAnsi="Times New Roman"/>
          <w:color w:val="0E101A"/>
          <w:vertAlign w:val="superscript"/>
        </w:rPr>
        <w:t>63</w:t>
      </w:r>
      <w:r>
        <w:rPr>
          <w:rFonts w:ascii="Times New Roman" w:hAnsi="Times New Roman"/>
          <w:color w:val="0E101A"/>
        </w:rPr>
        <w:t> </w:t>
      </w:r>
    </w:p>
    <w:p w14:paraId="3AC2A89F" w14:textId="77777777" w:rsidR="002F1423" w:rsidRDefault="002F1423">
      <w:pPr>
        <w:pStyle w:val="Default"/>
        <w:spacing w:before="0" w:line="480" w:lineRule="auto"/>
        <w:rPr>
          <w:rFonts w:ascii="Times New Roman" w:eastAsia="Times New Roman" w:hAnsi="Times New Roman" w:cs="Times New Roman"/>
          <w:color w:val="0E101A"/>
        </w:rPr>
      </w:pPr>
    </w:p>
    <w:p w14:paraId="58CBB0C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presence of chronic inflammatory env</w:t>
      </w:r>
      <w:r>
        <w:rPr>
          <w:rFonts w:ascii="Times New Roman" w:hAnsi="Times New Roman"/>
          <w:color w:val="0E101A"/>
        </w:rPr>
        <w:t>ironmental conditions can alter the microenvironment but also alter transcriptomic responses. Both elements can contribute to the migration of macrophages into tissue and T-regulatory cells. While perhaps better studied in tumor cells, lactate can initiate</w:t>
      </w:r>
      <w:r>
        <w:rPr>
          <w:rFonts w:ascii="Times New Roman" w:hAnsi="Times New Roman"/>
          <w:color w:val="0E101A"/>
        </w:rPr>
        <w:t xml:space="preserve"> pro-inflammatory effects and prompt tumor angiogenesis. Thus, metabolic changes in immune cells accumulate in blood vessel walls, as in margination, or in joint capsules promoting inflammation as the disease </w:t>
      </w:r>
      <w:r>
        <w:rPr>
          <w:rFonts w:ascii="Times New Roman" w:hAnsi="Times New Roman"/>
        </w:rPr>
        <w:t>progresses</w:t>
      </w:r>
      <w:r>
        <w:rPr>
          <w:rFonts w:ascii="Times New Roman" w:hAnsi="Times New Roman"/>
          <w:color w:val="0E101A"/>
        </w:rPr>
        <w:t>, possibly including atherosclerosis.</w:t>
      </w:r>
      <w:r>
        <w:rPr>
          <w:rFonts w:ascii="Times New Roman" w:hAnsi="Times New Roman"/>
          <w:color w:val="0E101A"/>
          <w:vertAlign w:val="superscript"/>
        </w:rPr>
        <w:t>64</w:t>
      </w:r>
      <w:r>
        <w:rPr>
          <w:rFonts w:ascii="Times New Roman" w:hAnsi="Times New Roman"/>
          <w:color w:val="0E101A"/>
        </w:rPr>
        <w:t> </w:t>
      </w:r>
    </w:p>
    <w:p w14:paraId="194AAEE6" w14:textId="77777777" w:rsidR="002F1423" w:rsidRDefault="002F1423">
      <w:pPr>
        <w:pStyle w:val="Default"/>
        <w:spacing w:before="0" w:line="480" w:lineRule="auto"/>
        <w:rPr>
          <w:rFonts w:ascii="Times New Roman" w:eastAsia="Times New Roman" w:hAnsi="Times New Roman" w:cs="Times New Roman"/>
          <w:color w:val="0E101A"/>
        </w:rPr>
      </w:pPr>
    </w:p>
    <w:p w14:paraId="61245BC9"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Of interest are the associated findings with the pentose-phosphate shunt in which accumulation of succinate, brought about by the Krebs cycle's disruption, leads to the stabilization of HIF-1</w:t>
      </w:r>
      <w:r>
        <w:rPr>
          <w:rFonts w:ascii="Times New Roman" w:hAnsi="Times New Roman"/>
          <w:color w:val="0E101A"/>
        </w:rPr>
        <w:t>α</w:t>
      </w:r>
      <w:r>
        <w:rPr>
          <w:rFonts w:ascii="Times New Roman" w:hAnsi="Times New Roman"/>
          <w:color w:val="0E101A"/>
        </w:rPr>
        <w:t xml:space="preserve">, which as a transcription factor will induce the </w:t>
      </w:r>
      <w:r>
        <w:rPr>
          <w:rFonts w:ascii="Times New Roman" w:hAnsi="Times New Roman"/>
          <w:color w:val="0E101A"/>
        </w:rPr>
        <w:t>production of an inflammatory cytokine, interleukin-1</w:t>
      </w:r>
      <w:r>
        <w:rPr>
          <w:rFonts w:ascii="Times New Roman" w:hAnsi="Times New Roman"/>
          <w:color w:val="0E101A"/>
        </w:rPr>
        <w:t xml:space="preserve">β </w:t>
      </w:r>
      <w:r>
        <w:rPr>
          <w:rFonts w:ascii="Times New Roman" w:hAnsi="Times New Roman"/>
          <w:color w:val="0E101A"/>
        </w:rPr>
        <w:t>(IL-1</w:t>
      </w:r>
      <w:r>
        <w:rPr>
          <w:rFonts w:ascii="Times New Roman" w:hAnsi="Times New Roman"/>
          <w:color w:val="0E101A"/>
        </w:rPr>
        <w:t>β</w:t>
      </w:r>
      <w:r>
        <w:rPr>
          <w:rFonts w:ascii="Times New Roman" w:hAnsi="Times New Roman"/>
          <w:color w:val="0E101A"/>
        </w:rPr>
        <w:t>).</w:t>
      </w:r>
      <w:r>
        <w:rPr>
          <w:rFonts w:ascii="Times New Roman" w:hAnsi="Times New Roman"/>
          <w:color w:val="B51700"/>
        </w:rPr>
        <w:t xml:space="preserve"> </w:t>
      </w:r>
      <w:r>
        <w:rPr>
          <w:rFonts w:ascii="Times New Roman" w:hAnsi="Times New Roman"/>
        </w:rPr>
        <w:t>Suppose the mitochondrial mechanisms, including translocases, are not adversely impacted, as seen in hypometabolism. In that case, LPS stimulation will cause remodeling of the electron transpo</w:t>
      </w:r>
      <w:r>
        <w:rPr>
          <w:rFonts w:ascii="Times New Roman" w:hAnsi="Times New Roman"/>
        </w:rPr>
        <w:t xml:space="preserve">rt chain itself, promoting the generation of mitochondrial ROS, which assists in killing </w:t>
      </w:r>
      <w:r>
        <w:rPr>
          <w:rFonts w:ascii="Times New Roman" w:hAnsi="Times New Roman"/>
          <w:lang w:val="fr-FR"/>
        </w:rPr>
        <w:t>microbes</w:t>
      </w:r>
      <w:r>
        <w:rPr>
          <w:rFonts w:ascii="Times New Roman" w:hAnsi="Times New Roman"/>
        </w:rPr>
        <w:t>.</w:t>
      </w:r>
      <w:r>
        <w:rPr>
          <w:rFonts w:ascii="Times New Roman" w:hAnsi="Times New Roman"/>
          <w:vertAlign w:val="superscript"/>
        </w:rPr>
        <w:t>65</w:t>
      </w:r>
      <w:r>
        <w:rPr>
          <w:rFonts w:ascii="Times New Roman" w:hAnsi="Times New Roman"/>
          <w:color w:val="B51700"/>
        </w:rPr>
        <w:t> </w:t>
      </w:r>
    </w:p>
    <w:p w14:paraId="4AE20AA1" w14:textId="77777777" w:rsidR="002F1423" w:rsidRDefault="002F1423">
      <w:pPr>
        <w:pStyle w:val="Default"/>
        <w:spacing w:before="0" w:line="480" w:lineRule="auto"/>
        <w:rPr>
          <w:rFonts w:ascii="Times New Roman" w:eastAsia="Times New Roman" w:hAnsi="Times New Roman" w:cs="Times New Roman"/>
          <w:color w:val="0E101A"/>
        </w:rPr>
      </w:pPr>
    </w:p>
    <w:p w14:paraId="5CBEAFC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Similarly, another element of this Krebs cycle, citrate, can be exported from mitochondria to the cytoplasm following LPS </w:t>
      </w:r>
      <w:r>
        <w:rPr>
          <w:rFonts w:ascii="Times New Roman" w:hAnsi="Times New Roman"/>
          <w:lang w:val="fr-FR"/>
        </w:rPr>
        <w:t>stimulation</w:t>
      </w:r>
      <w:r>
        <w:rPr>
          <w:rFonts w:ascii="Times New Roman" w:hAnsi="Times New Roman"/>
        </w:rPr>
        <w:t>. T</w:t>
      </w:r>
      <w:r>
        <w:rPr>
          <w:rFonts w:ascii="Times New Roman" w:hAnsi="Times New Roman"/>
          <w:color w:val="0E101A"/>
        </w:rPr>
        <w:t>he expansion of the endoplasmic reticulum and Golgi bodies, in turn, support cytokine release from dendritic cells.</w:t>
      </w:r>
      <w:r>
        <w:rPr>
          <w:rFonts w:ascii="Times New Roman" w:hAnsi="Times New Roman"/>
          <w:color w:val="0E101A"/>
          <w:vertAlign w:val="superscript"/>
        </w:rPr>
        <w:t>63</w:t>
      </w:r>
      <w:r>
        <w:rPr>
          <w:rFonts w:ascii="Times New Roman" w:hAnsi="Times New Roman"/>
          <w:color w:val="0E101A"/>
        </w:rPr>
        <w:t xml:space="preserve"> </w:t>
      </w:r>
      <w:r>
        <w:rPr>
          <w:rFonts w:ascii="Times New Roman" w:hAnsi="Times New Roman"/>
          <w:color w:val="0E101A"/>
        </w:rPr>
        <w:t>We see metabolic networks to regulate inflammatory processes throughout the cell, including nuclear transcription and mitochondrial function.</w:t>
      </w:r>
      <w:r>
        <w:rPr>
          <w:rFonts w:ascii="Times New Roman" w:hAnsi="Times New Roman"/>
          <w:color w:val="0E101A"/>
        </w:rPr>
        <w:t> </w:t>
      </w:r>
    </w:p>
    <w:p w14:paraId="1A6B7291" w14:textId="77777777" w:rsidR="002F1423" w:rsidRDefault="002F1423">
      <w:pPr>
        <w:pStyle w:val="Default"/>
        <w:spacing w:before="0" w:line="480" w:lineRule="auto"/>
        <w:rPr>
          <w:rFonts w:ascii="Times New Roman" w:eastAsia="Times New Roman" w:hAnsi="Times New Roman" w:cs="Times New Roman"/>
          <w:color w:val="0E101A"/>
        </w:rPr>
      </w:pPr>
    </w:p>
    <w:p w14:paraId="2716DA6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As discussed, IRS2 activation will stimulate the activation of the mammalian target of </w:t>
      </w:r>
      <w:hyperlink r:id="rId7" w:history="1">
        <w:r>
          <w:rPr>
            <w:rStyle w:val="Hyperlink0"/>
            <w:rFonts w:ascii="Times New Roman" w:hAnsi="Times New Roman"/>
          </w:rPr>
          <w:t>rapamycin</w:t>
        </w:r>
      </w:hyperlink>
      <w:r>
        <w:rPr>
          <w:rStyle w:val="Hyperlink0"/>
          <w:rFonts w:ascii="Times New Roman" w:hAnsi="Times New Roman"/>
        </w:rPr>
        <w:t xml:space="preserve"> (mTOR)</w:t>
      </w:r>
      <w:r>
        <w:rPr>
          <w:rFonts w:ascii="Times New Roman" w:hAnsi="Times New Roman"/>
          <w:color w:val="0E101A"/>
        </w:rPr>
        <w:t xml:space="preserve">, which is an important stimulator of the metabolic response of the cell, affecting nutrient availability and energy demands, together with P13K/Akt. This combination drives aerobic glycolysis to meet the </w:t>
      </w:r>
      <w:r>
        <w:rPr>
          <w:rFonts w:ascii="Times New Roman" w:hAnsi="Times New Roman"/>
          <w:color w:val="0E101A"/>
        </w:rPr>
        <w:t>demands of actively dividing cells. The regulatory counter-balance is the activation of AMPK, which enhances the regulation of oxidative phosphorylation, promoting both ATP production and inflammatory properties.</w:t>
      </w:r>
      <w:r>
        <w:rPr>
          <w:rStyle w:val="None"/>
          <w:rFonts w:ascii="Times New Roman" w:hAnsi="Times New Roman"/>
          <w:color w:val="0E101A"/>
          <w:vertAlign w:val="superscript"/>
        </w:rPr>
        <w:t>66</w:t>
      </w:r>
      <w:r>
        <w:rPr>
          <w:rFonts w:ascii="Times New Roman" w:hAnsi="Times New Roman"/>
          <w:color w:val="0E101A"/>
        </w:rPr>
        <w:t>  </w:t>
      </w:r>
    </w:p>
    <w:p w14:paraId="32C55DF6" w14:textId="77777777" w:rsidR="002F1423" w:rsidRDefault="002F1423">
      <w:pPr>
        <w:pStyle w:val="Default"/>
        <w:spacing w:before="0" w:line="480" w:lineRule="auto"/>
        <w:rPr>
          <w:rFonts w:ascii="Times New Roman" w:eastAsia="Times New Roman" w:hAnsi="Times New Roman" w:cs="Times New Roman"/>
          <w:color w:val="0E101A"/>
        </w:rPr>
      </w:pPr>
    </w:p>
    <w:p w14:paraId="58B27737"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rPr>
        <w:t>8.3</w:t>
      </w:r>
      <w:r>
        <w:rPr>
          <w:rFonts w:ascii="Times New Roman" w:hAnsi="Times New Roman"/>
          <w:b/>
          <w:bCs/>
          <w:color w:val="0E101A"/>
        </w:rPr>
        <w:t xml:space="preserve"> Hexosamine </w:t>
      </w:r>
      <w:r>
        <w:rPr>
          <w:rFonts w:ascii="Times New Roman" w:hAnsi="Times New Roman"/>
          <w:b/>
          <w:bCs/>
          <w:color w:val="0E101A"/>
        </w:rPr>
        <w:t>Biosynthetic Pathway (HBP)</w:t>
      </w:r>
    </w:p>
    <w:p w14:paraId="51945272" w14:textId="77777777" w:rsidR="002F1423" w:rsidRDefault="002F1423">
      <w:pPr>
        <w:pStyle w:val="Default"/>
        <w:spacing w:before="0" w:line="480" w:lineRule="auto"/>
        <w:rPr>
          <w:rFonts w:ascii="Times New Roman" w:eastAsia="Times New Roman" w:hAnsi="Times New Roman" w:cs="Times New Roman"/>
          <w:color w:val="0E101A"/>
        </w:rPr>
      </w:pPr>
    </w:p>
    <w:p w14:paraId="422BB49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layers of regulatory interaction of the transcriptome, inflammation, and glucose metabolism are well-exemplified by an important metabolic pathway for glucose (but only affecting 3-6% of intracellular glucose), the hexosamin</w:t>
      </w:r>
      <w:r>
        <w:rPr>
          <w:rFonts w:ascii="Times New Roman" w:hAnsi="Times New Roman"/>
          <w:color w:val="0E101A"/>
        </w:rPr>
        <w:t xml:space="preserve">e biosynthetic pathway (HBP). This pathway provides another </w:t>
      </w:r>
      <w:r>
        <w:rPr>
          <w:rFonts w:ascii="Times New Roman" w:hAnsi="Times New Roman"/>
          <w:color w:val="0E101A"/>
        </w:rPr>
        <w:t>“</w:t>
      </w:r>
      <w:r>
        <w:rPr>
          <w:rFonts w:ascii="Times New Roman" w:hAnsi="Times New Roman"/>
          <w:color w:val="0E101A"/>
        </w:rPr>
        <w:t>side street</w:t>
      </w:r>
      <w:r>
        <w:rPr>
          <w:rFonts w:ascii="Times New Roman" w:hAnsi="Times New Roman"/>
          <w:color w:val="0E101A"/>
        </w:rPr>
        <w:t>”</w:t>
      </w:r>
      <w:r>
        <w:rPr>
          <w:rFonts w:ascii="Times New Roman" w:hAnsi="Times New Roman"/>
          <w:color w:val="0E101A"/>
        </w:rPr>
        <w:t xml:space="preserve"> for glucose entering glycolysis. Remember that when glucose converts into glucose-6-phosphate, the body uses the compound </w:t>
      </w:r>
    </w:p>
    <w:p w14:paraId="21BC8C4E" w14:textId="77777777" w:rsidR="002F1423" w:rsidRDefault="00927F0D">
      <w:pPr>
        <w:pStyle w:val="Default"/>
        <w:numPr>
          <w:ilvl w:val="0"/>
          <w:numId w:val="11"/>
        </w:numPr>
        <w:spacing w:before="0" w:line="480" w:lineRule="auto"/>
        <w:rPr>
          <w:rFonts w:ascii="Times New Roman" w:hAnsi="Times New Roman"/>
        </w:rPr>
      </w:pPr>
      <w:r>
        <w:rPr>
          <w:rFonts w:ascii="Times New Roman" w:hAnsi="Times New Roman"/>
        </w:rPr>
        <w:t xml:space="preserve">to make glycogen or </w:t>
      </w:r>
    </w:p>
    <w:p w14:paraId="595F58B0" w14:textId="77777777" w:rsidR="002F1423" w:rsidRDefault="00927F0D">
      <w:pPr>
        <w:pStyle w:val="Default"/>
        <w:numPr>
          <w:ilvl w:val="0"/>
          <w:numId w:val="2"/>
        </w:numPr>
        <w:spacing w:before="0" w:line="480" w:lineRule="auto"/>
        <w:rPr>
          <w:rFonts w:ascii="Times New Roman" w:hAnsi="Times New Roman"/>
        </w:rPr>
      </w:pPr>
      <w:r>
        <w:rPr>
          <w:rFonts w:ascii="Times New Roman" w:hAnsi="Times New Roman"/>
        </w:rPr>
        <w:t xml:space="preserve">enter into the pentose phosphate shunt or </w:t>
      </w:r>
    </w:p>
    <w:p w14:paraId="39DA354D" w14:textId="77777777" w:rsidR="002F1423" w:rsidRDefault="00927F0D">
      <w:pPr>
        <w:pStyle w:val="Default"/>
        <w:numPr>
          <w:ilvl w:val="0"/>
          <w:numId w:val="2"/>
        </w:numPr>
        <w:spacing w:before="0" w:line="480" w:lineRule="auto"/>
        <w:rPr>
          <w:rFonts w:ascii="Times New Roman" w:hAnsi="Times New Roman"/>
          <w:color w:val="0E101A"/>
        </w:rPr>
      </w:pPr>
      <w:r>
        <w:rPr>
          <w:rStyle w:val="Hyperlink0"/>
          <w:rFonts w:ascii="Times New Roman" w:hAnsi="Times New Roman"/>
        </w:rPr>
        <w:t>be converted into fructose-6-phosphate.</w:t>
      </w:r>
    </w:p>
    <w:p w14:paraId="033B8AE4" w14:textId="77777777" w:rsidR="002F1423" w:rsidRDefault="00927F0D">
      <w:pPr>
        <w:pStyle w:val="Default"/>
        <w:spacing w:before="0" w:line="480" w:lineRule="auto"/>
        <w:rPr>
          <w:rFonts w:ascii="Times New Roman" w:eastAsia="Times New Roman" w:hAnsi="Times New Roman" w:cs="Times New Roman"/>
          <w:color w:val="0E101A"/>
        </w:rPr>
      </w:pPr>
      <w:r>
        <w:rPr>
          <w:rStyle w:val="Hyperlink0"/>
          <w:rFonts w:ascii="Times New Roman" w:hAnsi="Times New Roman"/>
        </w:rPr>
        <w:t>If 3 applies, gly</w:t>
      </w:r>
      <w:r>
        <w:rPr>
          <w:rFonts w:ascii="Times New Roman" w:hAnsi="Times New Roman"/>
          <w:color w:val="0E101A"/>
        </w:rPr>
        <w:t xml:space="preserve">colysis can continue, or fructose-6-phosphate can enter the HBP, especially in GAPDH suppression. This pathway is intimately involved with the </w:t>
      </w:r>
      <w:r>
        <w:rPr>
          <w:rFonts w:ascii="Times New Roman" w:hAnsi="Times New Roman"/>
          <w:color w:val="0E101A"/>
        </w:rPr>
        <w:t>response to stressors, particularly inflammation, ischemia, trauma, or oxidative stress from ROS. The HBP is called the survival pathway.</w:t>
      </w:r>
      <w:r>
        <w:rPr>
          <w:rStyle w:val="None"/>
          <w:rFonts w:ascii="Times New Roman" w:hAnsi="Times New Roman"/>
          <w:color w:val="0E101A"/>
          <w:vertAlign w:val="superscript"/>
        </w:rPr>
        <w:t>67</w:t>
      </w:r>
      <w:r>
        <w:rPr>
          <w:rFonts w:ascii="Times New Roman" w:hAnsi="Times New Roman"/>
          <w:color w:val="0E101A"/>
        </w:rPr>
        <w:t xml:space="preserve"> It maintains serum glucose higher than normal and leads to insulin resistance. In addition to providing extra nucleo</w:t>
      </w:r>
      <w:r>
        <w:rPr>
          <w:rFonts w:ascii="Times New Roman" w:hAnsi="Times New Roman"/>
          <w:color w:val="0E101A"/>
        </w:rPr>
        <w:t>tides needed for cell proliferation, HBP provides the needed building block, UDP-GlcNAc, required to produce glycans (O-linked-N-acetyl glucosamines, O-GlcNAc) that in turn regulate countless proteins and transcription factors.</w:t>
      </w:r>
      <w:r>
        <w:rPr>
          <w:rStyle w:val="None"/>
          <w:rFonts w:ascii="Times New Roman" w:hAnsi="Times New Roman"/>
          <w:color w:val="0E101A"/>
          <w:vertAlign w:val="superscript"/>
        </w:rPr>
        <w:t>68, 69</w:t>
      </w:r>
      <w:r>
        <w:rPr>
          <w:rFonts w:ascii="Times New Roman" w:hAnsi="Times New Roman"/>
          <w:color w:val="0E101A"/>
        </w:rPr>
        <w:t> </w:t>
      </w:r>
    </w:p>
    <w:p w14:paraId="1E4BFDFC" w14:textId="77777777" w:rsidR="002F1423" w:rsidRDefault="002F1423">
      <w:pPr>
        <w:pStyle w:val="Default"/>
        <w:spacing w:before="0" w:line="480" w:lineRule="auto"/>
        <w:rPr>
          <w:rFonts w:ascii="Times New Roman" w:eastAsia="Times New Roman" w:hAnsi="Times New Roman" w:cs="Times New Roman"/>
          <w:color w:val="0E101A"/>
        </w:rPr>
      </w:pPr>
    </w:p>
    <w:p w14:paraId="645B6604"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 the necessary pre</w:t>
      </w:r>
      <w:r>
        <w:rPr>
          <w:rFonts w:ascii="Times New Roman" w:hAnsi="Times New Roman"/>
          <w:color w:val="0E101A"/>
        </w:rPr>
        <w:t>sence of glutamine, we see the regulatory control, which impacts HBP, begins at the second step in glycolysis, where fructose-6-phosphate is changed by glutamine-fructose-phosphate amidotransferase (GFAT), especially in the concomitant presence of hypoxia,</w:t>
      </w:r>
      <w:r>
        <w:rPr>
          <w:rFonts w:ascii="Times New Roman" w:hAnsi="Times New Roman"/>
          <w:color w:val="0E101A"/>
        </w:rPr>
        <w:t xml:space="preserve"> by adding glutamine to make glucosamine-6-phosphate. Adding an acetyl CoA makes glucosamine-N-acetyl-6-phosphate, followed by rearrangement of the location of the phosphate. Then the nucleotide uridine phosphate is added from nucleotide pools to make urid</w:t>
      </w:r>
      <w:r>
        <w:rPr>
          <w:rFonts w:ascii="Times New Roman" w:hAnsi="Times New Roman"/>
          <w:color w:val="0E101A"/>
        </w:rPr>
        <w:t>ine diphosphate N-acetyl-glucosamine (UDP-GlcNAc).</w:t>
      </w:r>
    </w:p>
    <w:p w14:paraId="2165A483" w14:textId="77777777" w:rsidR="002F1423" w:rsidRDefault="002F1423">
      <w:pPr>
        <w:pStyle w:val="Default"/>
        <w:spacing w:before="0" w:line="480" w:lineRule="auto"/>
        <w:rPr>
          <w:rFonts w:ascii="Times New Roman" w:eastAsia="Times New Roman" w:hAnsi="Times New Roman" w:cs="Times New Roman"/>
          <w:color w:val="0E101A"/>
        </w:rPr>
      </w:pPr>
    </w:p>
    <w:p w14:paraId="5364EF22" w14:textId="77777777" w:rsidR="002F1423" w:rsidRDefault="00927F0D">
      <w:pPr>
        <w:pStyle w:val="Default"/>
        <w:spacing w:before="0" w:line="480" w:lineRule="auto"/>
        <w:rPr>
          <w:rStyle w:val="None"/>
          <w:rFonts w:ascii="Times New Roman" w:eastAsia="Times New Roman" w:hAnsi="Times New Roman" w:cs="Times New Roman"/>
          <w:color w:val="B51700"/>
        </w:rPr>
      </w:pPr>
      <w:r>
        <w:rPr>
          <w:rFonts w:ascii="Times New Roman" w:hAnsi="Times New Roman"/>
          <w:color w:val="0E101A"/>
        </w:rPr>
        <w:t>Posttranslational protein modification to membrane-bound or secreted proteins on serine or threonine moieties on hundreds of nuclear and cytoplasmic proteins via a modulatory process called O-glycosylatio</w:t>
      </w:r>
      <w:r>
        <w:rPr>
          <w:rFonts w:ascii="Times New Roman" w:hAnsi="Times New Roman"/>
          <w:color w:val="0E101A"/>
        </w:rPr>
        <w:t>n involving the enzyme O-GlcNAc transferase (OGT) forms UDP-GlcNAc. OGT is evolutionarily conserved and is the only enzyme that does the actual glycosylation. Acute cellular stress increases UDP-GlcNAc; increasing levels increases cell survival,</w:t>
      </w:r>
      <w:r>
        <w:rPr>
          <w:rStyle w:val="None"/>
          <w:rFonts w:ascii="Times New Roman" w:hAnsi="Times New Roman"/>
          <w:color w:val="0E101A"/>
          <w:vertAlign w:val="superscript"/>
        </w:rPr>
        <w:t>67</w:t>
      </w:r>
      <w:r>
        <w:rPr>
          <w:rFonts w:ascii="Times New Roman" w:hAnsi="Times New Roman"/>
          <w:color w:val="0E101A"/>
        </w:rPr>
        <w:t xml:space="preserve"> and feed</w:t>
      </w:r>
      <w:r>
        <w:rPr>
          <w:rFonts w:ascii="Times New Roman" w:hAnsi="Times New Roman"/>
          <w:color w:val="0E101A"/>
        </w:rPr>
        <w:t>back suppresses GFAT.</w:t>
      </w:r>
      <w:r>
        <w:rPr>
          <w:rStyle w:val="None"/>
          <w:rFonts w:ascii="Times New Roman" w:hAnsi="Times New Roman"/>
          <w:color w:val="0E101A"/>
          <w:vertAlign w:val="superscript"/>
        </w:rPr>
        <w:t>68</w:t>
      </w:r>
      <w:r>
        <w:rPr>
          <w:rFonts w:ascii="Times New Roman" w:hAnsi="Times New Roman"/>
          <w:color w:val="0E101A"/>
        </w:rPr>
        <w:t xml:space="preserve"> </w:t>
      </w:r>
      <w:r>
        <w:rPr>
          <w:rStyle w:val="Hyperlink0"/>
          <w:rFonts w:ascii="Times New Roman" w:hAnsi="Times New Roman"/>
        </w:rPr>
        <w:t xml:space="preserve">O-glycosylation is involved in many feedback control systems. The survival pathway also stimulates O-glycosylation to make defensins, non-specific acute phase neutrophilic peptides used in host defense against bacteria and </w:t>
      </w:r>
      <w:r>
        <w:rPr>
          <w:rStyle w:val="Hyperlink0"/>
          <w:rFonts w:ascii="Times New Roman" w:hAnsi="Times New Roman"/>
        </w:rPr>
        <w:t>viruses.</w:t>
      </w:r>
      <w:r>
        <w:rPr>
          <w:rStyle w:val="Hyperlink0"/>
          <w:rFonts w:ascii="Times New Roman" w:hAnsi="Times New Roman"/>
        </w:rPr>
        <w:t> </w:t>
      </w:r>
    </w:p>
    <w:p w14:paraId="6236D85F" w14:textId="77777777" w:rsidR="002F1423" w:rsidRDefault="002F1423">
      <w:pPr>
        <w:pStyle w:val="Default"/>
        <w:spacing w:before="0" w:line="480" w:lineRule="auto"/>
        <w:rPr>
          <w:rFonts w:ascii="Times New Roman" w:eastAsia="Times New Roman" w:hAnsi="Times New Roman" w:cs="Times New Roman"/>
          <w:color w:val="0E101A"/>
        </w:rPr>
      </w:pPr>
    </w:p>
    <w:p w14:paraId="6D17995D"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Opposing UDP-GlcNAc and OGT is N-acetylglucosaminidase (O-GlcNAcase; OGA), also evolutionarily conserved, the only enzyme that</w:t>
      </w:r>
      <w:r>
        <w:rPr>
          <w:rFonts w:ascii="Times New Roman" w:hAnsi="Times New Roman"/>
          <w:color w:val="0E101A"/>
        </w:rPr>
        <w:t> </w:t>
      </w:r>
      <w:r>
        <w:rPr>
          <w:rStyle w:val="None"/>
          <w:rFonts w:ascii="Times New Roman" w:hAnsi="Times New Roman"/>
          <w:i/>
          <w:iCs/>
          <w:color w:val="0E101A"/>
        </w:rPr>
        <w:t>removes</w:t>
      </w:r>
      <w:r>
        <w:rPr>
          <w:rStyle w:val="None"/>
          <w:rFonts w:ascii="Times New Roman" w:hAnsi="Times New Roman"/>
          <w:i/>
          <w:iCs/>
          <w:color w:val="0E101A"/>
        </w:rPr>
        <w:t> </w:t>
      </w:r>
      <w:r>
        <w:rPr>
          <w:rFonts w:ascii="Times New Roman" w:hAnsi="Times New Roman"/>
          <w:color w:val="0E101A"/>
        </w:rPr>
        <w:t xml:space="preserve">the glucosamine from previously O-glycosylated proteins, acting primarily in the cytosol. The flux </w:t>
      </w:r>
      <w:r>
        <w:rPr>
          <w:rFonts w:ascii="Times New Roman" w:hAnsi="Times New Roman"/>
          <w:color w:val="0E101A"/>
        </w:rPr>
        <w:t>through the HBP that excessively favors OGT over OGA contributes to the development of insulin resistance. Work on adipocytes shows impairment of insulin-stimulated glucose uptake, caused in part by</w:t>
      </w:r>
      <w:r>
        <w:rPr>
          <w:rFonts w:ascii="Times New Roman" w:hAnsi="Times New Roman"/>
          <w:color w:val="0E101A"/>
        </w:rPr>
        <w:t> </w:t>
      </w:r>
    </w:p>
    <w:p w14:paraId="3D63715B" w14:textId="77777777" w:rsidR="002F1423" w:rsidRDefault="00927F0D">
      <w:pPr>
        <w:pStyle w:val="Default"/>
        <w:numPr>
          <w:ilvl w:val="0"/>
          <w:numId w:val="12"/>
        </w:numPr>
        <w:spacing w:before="0" w:line="480" w:lineRule="auto"/>
        <w:rPr>
          <w:rFonts w:ascii="Times New Roman" w:hAnsi="Times New Roman"/>
          <w:color w:val="0E101A"/>
        </w:rPr>
      </w:pPr>
      <w:r>
        <w:rPr>
          <w:rFonts w:ascii="Times New Roman" w:hAnsi="Times New Roman"/>
          <w:color w:val="0E101A"/>
        </w:rPr>
        <w:t>increasing glucose toxicity</w:t>
      </w:r>
    </w:p>
    <w:p w14:paraId="2B00918B"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decreasing GLUT-4</w:t>
      </w:r>
    </w:p>
    <w:p w14:paraId="4FDC4109"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increasing</w:t>
      </w:r>
      <w:r>
        <w:rPr>
          <w:rFonts w:ascii="Times New Roman" w:hAnsi="Times New Roman"/>
          <w:color w:val="0E101A"/>
        </w:rPr>
        <w:t xml:space="preserve"> glycosylation of IRS-1 and AKT</w:t>
      </w:r>
      <w:r>
        <w:rPr>
          <w:rStyle w:val="None"/>
          <w:rFonts w:ascii="Times New Roman" w:hAnsi="Times New Roman"/>
          <w:color w:val="0E101A"/>
          <w:vertAlign w:val="superscript"/>
        </w:rPr>
        <w:t>70</w:t>
      </w:r>
    </w:p>
    <w:p w14:paraId="4FB7D14F"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blockade by inhibition of GFAT.</w:t>
      </w:r>
      <w:r>
        <w:rPr>
          <w:rStyle w:val="None"/>
          <w:rFonts w:ascii="Times New Roman" w:hAnsi="Times New Roman"/>
          <w:color w:val="0E101A"/>
          <w:vertAlign w:val="superscript"/>
        </w:rPr>
        <w:t>68</w:t>
      </w:r>
    </w:p>
    <w:p w14:paraId="59E591C6" w14:textId="77777777" w:rsidR="002F1423" w:rsidRDefault="002F1423">
      <w:pPr>
        <w:pStyle w:val="Default"/>
        <w:spacing w:before="0" w:line="480" w:lineRule="auto"/>
        <w:rPr>
          <w:rFonts w:ascii="Times New Roman" w:eastAsia="Times New Roman" w:hAnsi="Times New Roman" w:cs="Times New Roman"/>
          <w:color w:val="0E101A"/>
        </w:rPr>
      </w:pPr>
    </w:p>
    <w:p w14:paraId="57163D1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 known biological antagonist of OGA is O-(2-acetamido-2-deoxy-D-glucopyranosylidene) amino-N-phenyl carbamate (</w:t>
      </w:r>
      <w:r>
        <w:rPr>
          <w:rStyle w:val="Hyperlink0"/>
          <w:rFonts w:ascii="Times New Roman" w:hAnsi="Times New Roman"/>
          <w:lang w:val="pt-PT"/>
        </w:rPr>
        <w:t>PUGNAc</w:t>
      </w:r>
      <w:r>
        <w:rPr>
          <w:rStyle w:val="Hyperlink0"/>
          <w:rFonts w:ascii="Times New Roman" w:hAnsi="Times New Roman"/>
        </w:rPr>
        <w:t>).</w:t>
      </w:r>
      <w:r>
        <w:rPr>
          <w:rStyle w:val="None"/>
          <w:rFonts w:ascii="Times New Roman" w:hAnsi="Times New Roman"/>
          <w:vertAlign w:val="superscript"/>
        </w:rPr>
        <w:t>67, 69, 70</w:t>
      </w:r>
      <w:r>
        <w:rPr>
          <w:rFonts w:ascii="Times New Roman" w:hAnsi="Times New Roman"/>
          <w:color w:val="0E101A"/>
        </w:rPr>
        <w:t xml:space="preserve"> PUGNAc blocks the removal of glycans placed by OGT by inhibiting OGA. The presence of PUGNAc impairs glucose utilization; phosphorylation of IRS and Akt was impaired, and insulin resistance markedly increased. Theoretically, downregulating gene activation</w:t>
      </w:r>
      <w:r>
        <w:rPr>
          <w:rFonts w:ascii="Times New Roman" w:hAnsi="Times New Roman"/>
          <w:color w:val="0E101A"/>
        </w:rPr>
        <w:t xml:space="preserve"> for PUGNAc could have salutary health effects on insulin resistance and inflammation decrease via OGA activation.</w:t>
      </w:r>
    </w:p>
    <w:p w14:paraId="0B332F65" w14:textId="77777777" w:rsidR="002F1423" w:rsidRDefault="002F1423">
      <w:pPr>
        <w:pStyle w:val="Default"/>
        <w:spacing w:before="0" w:line="480" w:lineRule="auto"/>
        <w:rPr>
          <w:rFonts w:ascii="Times New Roman" w:eastAsia="Times New Roman" w:hAnsi="Times New Roman" w:cs="Times New Roman"/>
          <w:color w:val="0E101A"/>
        </w:rPr>
      </w:pPr>
    </w:p>
    <w:p w14:paraId="45ADEF7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Understanding that the sources of insulin resistance are multifactorial and returning to the role of capillary hypoperfusion in CIRS, we can</w:t>
      </w:r>
      <w:r>
        <w:rPr>
          <w:rFonts w:ascii="Times New Roman" w:hAnsi="Times New Roman"/>
          <w:color w:val="0E101A"/>
        </w:rPr>
        <w:t xml:space="preserve"> speculate to what extent prevention of hypoxia activates HBP.</w:t>
      </w:r>
      <w:r>
        <w:rPr>
          <w:rStyle w:val="None"/>
          <w:rFonts w:ascii="Times New Roman" w:hAnsi="Times New Roman"/>
          <w:b/>
          <w:bCs/>
          <w:color w:val="0E101A"/>
        </w:rPr>
        <w:t> </w:t>
      </w:r>
      <w:r>
        <w:rPr>
          <w:rFonts w:ascii="Times New Roman" w:hAnsi="Times New Roman"/>
          <w:color w:val="0E101A"/>
        </w:rPr>
        <w:t>The hexosamine biosynthetic pathway (HBP)</w:t>
      </w:r>
    </w:p>
    <w:p w14:paraId="3CC85D6E" w14:textId="77777777" w:rsidR="002F1423" w:rsidRDefault="00927F0D">
      <w:pPr>
        <w:pStyle w:val="Default"/>
        <w:numPr>
          <w:ilvl w:val="0"/>
          <w:numId w:val="13"/>
        </w:numPr>
        <w:spacing w:before="0" w:line="480" w:lineRule="auto"/>
        <w:rPr>
          <w:rFonts w:ascii="Times New Roman" w:hAnsi="Times New Roman"/>
          <w:color w:val="0E101A"/>
          <w:lang w:val="es-ES_tradnl"/>
        </w:rPr>
      </w:pPr>
      <w:r>
        <w:rPr>
          <w:rFonts w:ascii="Times New Roman" w:hAnsi="Times New Roman"/>
          <w:color w:val="0E101A"/>
          <w:lang w:val="es-ES_tradnl"/>
        </w:rPr>
        <w:t>reduces metabolic acidosis</w:t>
      </w:r>
    </w:p>
    <w:p w14:paraId="6DB51D73"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prevents proliferative physiology, and</w:t>
      </w:r>
    </w:p>
    <w:p w14:paraId="5837B279"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enhances VDAC and, thereby,</w:t>
      </w:r>
    </w:p>
    <w:p w14:paraId="6BC6A2CC" w14:textId="77777777" w:rsidR="002F1423" w:rsidRDefault="00927F0D">
      <w:pPr>
        <w:pStyle w:val="Default"/>
        <w:numPr>
          <w:ilvl w:val="0"/>
          <w:numId w:val="2"/>
        </w:numPr>
        <w:spacing w:before="0" w:line="480" w:lineRule="auto"/>
        <w:rPr>
          <w:rFonts w:ascii="Times New Roman" w:hAnsi="Times New Roman"/>
          <w:color w:val="0E101A"/>
        </w:rPr>
      </w:pPr>
      <w:r>
        <w:rPr>
          <w:rFonts w:ascii="Times New Roman" w:hAnsi="Times New Roman"/>
          <w:color w:val="0E101A"/>
        </w:rPr>
        <w:t xml:space="preserve">enhances energy conservation from </w:t>
      </w:r>
      <w:r>
        <w:rPr>
          <w:rFonts w:ascii="Times New Roman" w:hAnsi="Times New Roman"/>
          <w:color w:val="0E101A"/>
        </w:rPr>
        <w:t>mitochondrial matrix function.</w:t>
      </w:r>
    </w:p>
    <w:p w14:paraId="3E6059F4"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HBP provides salutary benefits in protection from decreased glucose uptake and protection from O-glycan-induced insulin resistance.</w:t>
      </w:r>
    </w:p>
    <w:p w14:paraId="1167CA92" w14:textId="77777777" w:rsidR="002F1423" w:rsidRDefault="002F1423">
      <w:pPr>
        <w:pStyle w:val="Default"/>
        <w:spacing w:before="0" w:line="480" w:lineRule="auto"/>
        <w:rPr>
          <w:rFonts w:ascii="Times New Roman" w:eastAsia="Times New Roman" w:hAnsi="Times New Roman" w:cs="Times New Roman"/>
          <w:color w:val="0E101A"/>
        </w:rPr>
      </w:pPr>
    </w:p>
    <w:p w14:paraId="55D31037"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rPr>
        <w:t>8.3.1 Inside Insulin Resistance</w:t>
      </w:r>
    </w:p>
    <w:p w14:paraId="1D21EB45" w14:textId="77777777" w:rsidR="002F1423" w:rsidRDefault="002F1423">
      <w:pPr>
        <w:pStyle w:val="Default"/>
        <w:spacing w:before="0" w:line="480" w:lineRule="auto"/>
        <w:rPr>
          <w:rFonts w:ascii="Times New Roman" w:eastAsia="Times New Roman" w:hAnsi="Times New Roman" w:cs="Times New Roman"/>
          <w:color w:val="0E101A"/>
        </w:rPr>
      </w:pPr>
    </w:p>
    <w:p w14:paraId="394B6F03"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Using a T3-L1 cell line that expresses the GLUT-</w:t>
      </w:r>
      <w:r>
        <w:rPr>
          <w:rFonts w:ascii="Times New Roman" w:hAnsi="Times New Roman"/>
          <w:color w:val="0E101A"/>
        </w:rPr>
        <w:t xml:space="preserve">4 transporter, a well-characterized model of the study of insulin resistance, Vosseller and Wells show the effect of excessive glycosylation by OTG. </w:t>
      </w:r>
      <w:r>
        <w:rPr>
          <w:rStyle w:val="Hyperlink0"/>
          <w:rFonts w:ascii="Times New Roman" w:hAnsi="Times New Roman"/>
        </w:rPr>
        <w:t>A reduction of OTA, or blockade of OTA,</w:t>
      </w:r>
      <w:r>
        <w:rPr>
          <w:rFonts w:ascii="Times New Roman" w:hAnsi="Times New Roman"/>
          <w:color w:val="0E101A"/>
        </w:rPr>
        <w:t xml:space="preserve"> by PUGNAc, reduces the activation of downstream effectors of insuli</w:t>
      </w:r>
      <w:r>
        <w:rPr>
          <w:rFonts w:ascii="Times New Roman" w:hAnsi="Times New Roman"/>
          <w:color w:val="0E101A"/>
        </w:rPr>
        <w:t>n receptors.</w:t>
      </w:r>
      <w:r>
        <w:rPr>
          <w:rStyle w:val="None"/>
          <w:rFonts w:ascii="Times New Roman" w:hAnsi="Times New Roman"/>
          <w:color w:val="0E101A"/>
          <w:vertAlign w:val="superscript"/>
        </w:rPr>
        <w:t>71</w:t>
      </w:r>
      <w:r>
        <w:rPr>
          <w:rStyle w:val="None"/>
          <w:rFonts w:ascii="Times New Roman" w:hAnsi="Times New Roman"/>
          <w:b/>
          <w:bCs/>
          <w:color w:val="0E101A"/>
        </w:rPr>
        <w:t> </w:t>
      </w:r>
      <w:r>
        <w:rPr>
          <w:rFonts w:ascii="Times New Roman" w:hAnsi="Times New Roman"/>
          <w:color w:val="0E101A"/>
        </w:rPr>
        <w:t xml:space="preserve">By identifying the glycosylation status of individual members of the insulin signaling cascade, including insulin receptor substrate and B-catenin, insulin resistance was recognized. The study shows that metabolism incorporates </w:t>
      </w:r>
      <w:r>
        <w:rPr>
          <w:rFonts w:ascii="Times New Roman" w:hAnsi="Times New Roman"/>
          <w:color w:val="0E101A"/>
        </w:rPr>
        <w:t>posttranslational regulatory modification of proteins, accentuated by the glucose flux through the hexosamine biosynthetic pathway.</w:t>
      </w:r>
      <w:r>
        <w:rPr>
          <w:rFonts w:ascii="Times New Roman" w:hAnsi="Times New Roman"/>
          <w:color w:val="0E101A"/>
        </w:rPr>
        <w:t> </w:t>
      </w:r>
    </w:p>
    <w:p w14:paraId="1DEEA1B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66BF3C0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role of glycosylation extends beyond insulin resistance. Glycosylation catalyzes by only one enzyme, OGT. Removal of </w:t>
      </w:r>
      <w:r>
        <w:rPr>
          <w:rFonts w:ascii="Times New Roman" w:hAnsi="Times New Roman"/>
          <w:color w:val="0E101A"/>
        </w:rPr>
        <w:t>O-GlcNAc from proteins is catalyzed only by one enzyme, OGA. The balance of OGT versus OGA alters the activity of PUGNAc, which preferentially blocks OGA.</w:t>
      </w:r>
      <w:r>
        <w:rPr>
          <w:rStyle w:val="None"/>
          <w:rFonts w:ascii="Times New Roman" w:hAnsi="Times New Roman"/>
          <w:color w:val="0E101A"/>
          <w:vertAlign w:val="superscript"/>
        </w:rPr>
        <w:t>69</w:t>
      </w:r>
      <w:r>
        <w:rPr>
          <w:rFonts w:ascii="Times New Roman" w:hAnsi="Times New Roman"/>
          <w:color w:val="0E101A"/>
        </w:rPr>
        <w:t xml:space="preserve"> Abnormalities of proteins, including transcription factors, are linked by glycosylation which can i</w:t>
      </w:r>
      <w:r>
        <w:rPr>
          <w:rFonts w:ascii="Times New Roman" w:hAnsi="Times New Roman"/>
          <w:color w:val="0E101A"/>
        </w:rPr>
        <w:t xml:space="preserve">nfluence </w:t>
      </w:r>
    </w:p>
    <w:p w14:paraId="516EC21E" w14:textId="77777777" w:rsidR="002F1423" w:rsidRDefault="00927F0D">
      <w:pPr>
        <w:pStyle w:val="Default"/>
        <w:numPr>
          <w:ilvl w:val="0"/>
          <w:numId w:val="14"/>
        </w:numPr>
        <w:spacing w:before="0" w:line="480" w:lineRule="auto"/>
        <w:rPr>
          <w:rFonts w:ascii="Times New Roman" w:hAnsi="Times New Roman"/>
        </w:rPr>
      </w:pPr>
      <w:r>
        <w:rPr>
          <w:rFonts w:ascii="Times New Roman" w:hAnsi="Times New Roman"/>
        </w:rPr>
        <w:t xml:space="preserve">transcription activity, </w:t>
      </w:r>
    </w:p>
    <w:p w14:paraId="2119D01E" w14:textId="77777777" w:rsidR="002F1423" w:rsidRDefault="00927F0D">
      <w:pPr>
        <w:pStyle w:val="Default"/>
        <w:numPr>
          <w:ilvl w:val="0"/>
          <w:numId w:val="2"/>
        </w:numPr>
        <w:spacing w:before="0" w:line="480" w:lineRule="auto"/>
        <w:rPr>
          <w:rFonts w:ascii="Times New Roman" w:hAnsi="Times New Roman"/>
        </w:rPr>
      </w:pPr>
      <w:r>
        <w:rPr>
          <w:rFonts w:ascii="Times New Roman" w:hAnsi="Times New Roman"/>
        </w:rPr>
        <w:t xml:space="preserve">DNA, </w:t>
      </w:r>
    </w:p>
    <w:p w14:paraId="7651D2DB" w14:textId="77777777" w:rsidR="002F1423" w:rsidRDefault="00927F0D">
      <w:pPr>
        <w:pStyle w:val="Default"/>
        <w:numPr>
          <w:ilvl w:val="0"/>
          <w:numId w:val="2"/>
        </w:numPr>
        <w:spacing w:before="0" w:line="480" w:lineRule="auto"/>
        <w:rPr>
          <w:rFonts w:ascii="Times New Roman" w:hAnsi="Times New Roman"/>
        </w:rPr>
      </w:pPr>
      <w:r>
        <w:rPr>
          <w:rFonts w:ascii="Times New Roman" w:hAnsi="Times New Roman"/>
        </w:rPr>
        <w:t xml:space="preserve">localization, and </w:t>
      </w:r>
    </w:p>
    <w:p w14:paraId="3C131219" w14:textId="77777777" w:rsidR="002F1423" w:rsidRDefault="00927F0D">
      <w:pPr>
        <w:pStyle w:val="Default"/>
        <w:numPr>
          <w:ilvl w:val="0"/>
          <w:numId w:val="2"/>
        </w:numPr>
        <w:spacing w:before="0" w:line="480" w:lineRule="auto"/>
        <w:rPr>
          <w:rFonts w:ascii="Times New Roman" w:hAnsi="Times New Roman"/>
        </w:rPr>
      </w:pPr>
      <w:r>
        <w:rPr>
          <w:rFonts w:ascii="Times New Roman" w:hAnsi="Times New Roman"/>
        </w:rPr>
        <w:t>stability in interaction with cofactors.</w:t>
      </w:r>
    </w:p>
    <w:p w14:paraId="42AA0A58"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The role of regulation of glycosylation affecting transcription factors shows excellent potential for new approaches for the treatment of diabetes and obesity. </w:t>
      </w:r>
    </w:p>
    <w:p w14:paraId="105BB3D4" w14:textId="77777777" w:rsidR="002F1423" w:rsidRDefault="002F1423">
      <w:pPr>
        <w:pStyle w:val="Default"/>
        <w:spacing w:before="0" w:line="480" w:lineRule="auto"/>
        <w:rPr>
          <w:rFonts w:ascii="Times New Roman" w:eastAsia="Times New Roman" w:hAnsi="Times New Roman" w:cs="Times New Roman"/>
          <w:color w:val="0E101A"/>
        </w:rPr>
      </w:pPr>
    </w:p>
    <w:p w14:paraId="290E8809"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Despite the promise of new insights, awareness of O-glycosylation is not new. Indeed, in 2003 </w:t>
      </w:r>
      <w:r>
        <w:rPr>
          <w:rFonts w:ascii="Times New Roman" w:hAnsi="Times New Roman"/>
          <w:color w:val="0E101A"/>
        </w:rPr>
        <w:t>Kamemura discussed the balance of glycosylation versus phosphorylation of nucleocytoplasmic proteins as having a role in the metabolic control of signaling and transcription.</w:t>
      </w:r>
      <w:r>
        <w:rPr>
          <w:rStyle w:val="None"/>
          <w:rFonts w:ascii="Times New Roman" w:hAnsi="Times New Roman"/>
          <w:color w:val="0E101A"/>
          <w:vertAlign w:val="superscript"/>
        </w:rPr>
        <w:t>72</w:t>
      </w:r>
      <w:r>
        <w:rPr>
          <w:rFonts w:ascii="Times New Roman" w:hAnsi="Times New Roman"/>
          <w:color w:val="0E101A"/>
        </w:rPr>
        <w:t xml:space="preserve"> The role of OGT back then was identified as necessary for stem cell viability, </w:t>
      </w:r>
      <w:r>
        <w:rPr>
          <w:rFonts w:ascii="Times New Roman" w:hAnsi="Times New Roman"/>
          <w:color w:val="0E101A"/>
        </w:rPr>
        <w:t>making GlcNAc essential for life in multicellular creatures. The gene encoding OGA maps to a locus important to late-onset Alzheimer's disease. This link of the blockade of glycosylation to neuronal injury underscores the importance of the combination of i</w:t>
      </w:r>
      <w:r>
        <w:rPr>
          <w:rFonts w:ascii="Times New Roman" w:hAnsi="Times New Roman"/>
          <w:color w:val="0E101A"/>
        </w:rPr>
        <w:t>nflammation, increasing coagulation elements bound to beta-amyloid with metabolism. The interaction of glycosylation and phosphorylation is important for regulatory proteins, variously including estrogen receptors, Sp1, endothelial nitric oxide synthase, a</w:t>
      </w:r>
      <w:r>
        <w:rPr>
          <w:rFonts w:ascii="Times New Roman" w:hAnsi="Times New Roman"/>
          <w:color w:val="0E101A"/>
        </w:rPr>
        <w:t>nd B-catenin. This paper emphasizes the interaction of protein modifications in metabolism, to which we add the additional role of interactions with known confounders and inflammatory responses.</w:t>
      </w:r>
      <w:r>
        <w:rPr>
          <w:rFonts w:ascii="Times New Roman" w:hAnsi="Times New Roman"/>
          <w:color w:val="0E101A"/>
        </w:rPr>
        <w:t> </w:t>
      </w:r>
    </w:p>
    <w:p w14:paraId="2D8587B4" w14:textId="77777777" w:rsidR="002F1423" w:rsidRDefault="002F1423">
      <w:pPr>
        <w:pStyle w:val="Default"/>
        <w:spacing w:before="0" w:line="480" w:lineRule="auto"/>
        <w:rPr>
          <w:rFonts w:ascii="Times New Roman" w:eastAsia="Times New Roman" w:hAnsi="Times New Roman" w:cs="Times New Roman"/>
          <w:color w:val="0E101A"/>
        </w:rPr>
      </w:pPr>
    </w:p>
    <w:p w14:paraId="76B3D45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w:t>
      </w:r>
      <w:r>
        <w:rPr>
          <w:rFonts w:ascii="Times New Roman" w:hAnsi="Times New Roman"/>
          <w:color w:val="0E101A"/>
        </w:rPr>
        <w:t>n 2005</w:t>
      </w:r>
      <w:r>
        <w:rPr>
          <w:rFonts w:ascii="Times New Roman" w:hAnsi="Times New Roman"/>
          <w:color w:val="0E101A"/>
        </w:rPr>
        <w:t>,</w:t>
      </w:r>
      <w:r>
        <w:rPr>
          <w:rStyle w:val="None"/>
          <w:rFonts w:ascii="Times New Roman" w:hAnsi="Times New Roman"/>
          <w:color w:val="0E101A"/>
          <w:vertAlign w:val="superscript"/>
        </w:rPr>
        <w:t>70</w:t>
      </w:r>
      <w:r>
        <w:rPr>
          <w:rFonts w:ascii="Times New Roman" w:hAnsi="Times New Roman"/>
          <w:color w:val="0E101A"/>
        </w:rPr>
        <w:t xml:space="preserve"> </w:t>
      </w:r>
      <w:r>
        <w:rPr>
          <w:rFonts w:ascii="Times New Roman" w:hAnsi="Times New Roman"/>
          <w:color w:val="0E101A"/>
        </w:rPr>
        <w:t xml:space="preserve">Park extended the cell culture basis of insulin </w:t>
      </w:r>
      <w:r>
        <w:rPr>
          <w:rFonts w:ascii="Times New Roman" w:hAnsi="Times New Roman"/>
          <w:color w:val="0E101A"/>
        </w:rPr>
        <w:t>resistance to glycosylation and modification of IRS2 and Akt2 by PUGNAc. PUGNAc does not affect GLUT-4; it has an increased effect on glycosylation of insulin signaling intermediates, reducing the insulin-stimulated phosphorylation on IRS2 and Akt, leading</w:t>
      </w:r>
      <w:r>
        <w:rPr>
          <w:rFonts w:ascii="Times New Roman" w:hAnsi="Times New Roman"/>
          <w:color w:val="0E101A"/>
        </w:rPr>
        <w:t xml:space="preserve"> to insulin resistance in adipocytes.</w:t>
      </w:r>
      <w:r>
        <w:rPr>
          <w:rFonts w:ascii="Times New Roman" w:hAnsi="Times New Roman"/>
          <w:color w:val="0E101A"/>
        </w:rPr>
        <w:t> </w:t>
      </w:r>
    </w:p>
    <w:p w14:paraId="6BE5E02D" w14:textId="77777777" w:rsidR="002F1423" w:rsidRDefault="002F1423">
      <w:pPr>
        <w:pStyle w:val="Default"/>
        <w:spacing w:before="0" w:line="480" w:lineRule="auto"/>
        <w:rPr>
          <w:rFonts w:ascii="Times New Roman" w:eastAsia="Times New Roman" w:hAnsi="Times New Roman" w:cs="Times New Roman"/>
          <w:color w:val="0E101A"/>
        </w:rPr>
      </w:pPr>
    </w:p>
    <w:p w14:paraId="6CD5FEC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By 2010, additional studies of insulin resistance, focusing on the main tissues involved with glucose clearance, i.e., adipose tissue and striated muscle, added to the understanding of the important role of the hexos</w:t>
      </w:r>
      <w:r>
        <w:rPr>
          <w:rFonts w:ascii="Times New Roman" w:hAnsi="Times New Roman"/>
          <w:color w:val="0E101A"/>
        </w:rPr>
        <w:t>amine biosynthesis pathway.</w:t>
      </w:r>
      <w:r>
        <w:rPr>
          <w:rStyle w:val="None"/>
          <w:rFonts w:ascii="Times New Roman" w:hAnsi="Times New Roman"/>
          <w:color w:val="0E101A"/>
          <w:vertAlign w:val="superscript"/>
        </w:rPr>
        <w:t>68</w:t>
      </w:r>
      <w:r>
        <w:rPr>
          <w:rFonts w:ascii="Times New Roman" w:hAnsi="Times New Roman"/>
          <w:color w:val="0E101A"/>
        </w:rPr>
        <w:t xml:space="preserve"> </w:t>
      </w:r>
      <w:r>
        <w:rPr>
          <w:rStyle w:val="Hyperlink0"/>
          <w:rFonts w:ascii="Times New Roman" w:hAnsi="Times New Roman"/>
        </w:rPr>
        <w:t>Once again, we see protein modifications by glycosylation which modulates insulin sensitivity in fat cells.</w:t>
      </w:r>
      <w:r>
        <w:rPr>
          <w:rFonts w:ascii="Times New Roman" w:hAnsi="Times New Roman"/>
          <w:color w:val="0E101A"/>
        </w:rPr>
        <w:t xml:space="preserve"> Here we see the interaction of adipose tissue for the disposal of glucose, interacting with leptin as a central element in energy homeostasis. The conclusion is that animal studies show adipose tissue factors are key regulators in maintaining glucose home</w:t>
      </w:r>
      <w:r>
        <w:rPr>
          <w:rFonts w:ascii="Times New Roman" w:hAnsi="Times New Roman"/>
          <w:color w:val="0E101A"/>
        </w:rPr>
        <w:t>ostasis. Metabolism focusing on glucose extends to fat cell hormones and adipocytokines. The recurrent theme is that the hexosamine biosynthesis pathway in glycosylation controls the endocrine function of adipocytes mediating insulin resistance.</w:t>
      </w:r>
      <w:r>
        <w:rPr>
          <w:rFonts w:ascii="Times New Roman" w:hAnsi="Times New Roman"/>
          <w:color w:val="0E101A"/>
        </w:rPr>
        <w:t> </w:t>
      </w:r>
    </w:p>
    <w:p w14:paraId="689C0FCD" w14:textId="77777777" w:rsidR="002F1423" w:rsidRDefault="002F1423">
      <w:pPr>
        <w:pStyle w:val="Default"/>
        <w:spacing w:before="0" w:line="480" w:lineRule="auto"/>
        <w:rPr>
          <w:rFonts w:ascii="Times New Roman" w:eastAsia="Times New Roman" w:hAnsi="Times New Roman" w:cs="Times New Roman"/>
          <w:color w:val="0E101A"/>
        </w:rPr>
      </w:pPr>
    </w:p>
    <w:p w14:paraId="461720E3"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 tantal</w:t>
      </w:r>
      <w:r>
        <w:rPr>
          <w:rFonts w:ascii="Times New Roman" w:hAnsi="Times New Roman"/>
          <w:color w:val="0E101A"/>
        </w:rPr>
        <w:t xml:space="preserve">izing approach to the treatment of insulin resistance has to do with the blockade of the crucial enzyme GFAT. The use of azaserine or 6-diazo-5-oxonorleucine prevented glucose-insulin resistance in fat cells. On the other hand, the treatment of cells with </w:t>
      </w:r>
      <w:r>
        <w:rPr>
          <w:rFonts w:ascii="Times New Roman" w:hAnsi="Times New Roman"/>
          <w:color w:val="0E101A"/>
        </w:rPr>
        <w:t>glucosamine showed a reduction in insulin-mediated glucose uptake. Azaserine does not block this effect.</w:t>
      </w:r>
    </w:p>
    <w:p w14:paraId="00557026" w14:textId="77777777" w:rsidR="002F1423" w:rsidRDefault="002F1423">
      <w:pPr>
        <w:pStyle w:val="Default"/>
        <w:spacing w:before="0" w:line="480" w:lineRule="auto"/>
        <w:rPr>
          <w:rFonts w:ascii="Times New Roman" w:eastAsia="Times New Roman" w:hAnsi="Times New Roman" w:cs="Times New Roman"/>
          <w:color w:val="0E101A"/>
        </w:rPr>
      </w:pPr>
    </w:p>
    <w:p w14:paraId="68BC0073"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Additional work from Wells and Teo, published in 2014, underscores that while glycosylation is involved in the regulation of adipose cytokine </w:t>
      </w:r>
      <w:r>
        <w:rPr>
          <w:rFonts w:ascii="Times New Roman" w:hAnsi="Times New Roman"/>
          <w:color w:val="0E101A"/>
        </w:rPr>
        <w:t>secretion upon induction of insulin resistance in human fat cells, the investigators identified secretion of 190 proteins, as well as 20 upregulated proteins and six downregulated in insulin resistance.</w:t>
      </w:r>
      <w:r>
        <w:rPr>
          <w:rStyle w:val="None"/>
          <w:rFonts w:ascii="Times New Roman" w:hAnsi="Times New Roman"/>
          <w:color w:val="0E101A"/>
          <w:vertAlign w:val="superscript"/>
        </w:rPr>
        <w:t>73</w:t>
      </w:r>
      <w:r>
        <w:rPr>
          <w:rFonts w:ascii="Times New Roman" w:hAnsi="Times New Roman"/>
          <w:color w:val="0E101A"/>
        </w:rPr>
        <w:t xml:space="preserve"> </w:t>
      </w:r>
      <w:r>
        <w:rPr>
          <w:rStyle w:val="Hyperlink0"/>
          <w:rFonts w:ascii="Times New Roman" w:hAnsi="Times New Roman"/>
        </w:rPr>
        <w:t>Glycosylation can be more than oxygen-mediated; nit</w:t>
      </w:r>
      <w:r>
        <w:rPr>
          <w:rStyle w:val="Hyperlink0"/>
          <w:rFonts w:ascii="Times New Roman" w:hAnsi="Times New Roman"/>
        </w:rPr>
        <w:t>rogen and sulfur can contribute to glycans</w:t>
      </w:r>
      <w:r>
        <w:rPr>
          <w:rStyle w:val="Hyperlink0"/>
          <w:rFonts w:ascii="Times New Roman" w:hAnsi="Times New Roman"/>
        </w:rPr>
        <w:t>’</w:t>
      </w:r>
      <w:r>
        <w:rPr>
          <w:rStyle w:val="Hyperlink0"/>
          <w:rFonts w:ascii="Times New Roman" w:hAnsi="Times New Roman"/>
        </w:rPr>
        <w:t xml:space="preserve"> creation.</w:t>
      </w:r>
      <w:r>
        <w:rPr>
          <w:rFonts w:ascii="Times New Roman" w:hAnsi="Times New Roman"/>
          <w:color w:val="0E101A"/>
        </w:rPr>
        <w:t xml:space="preserve"> Here 91 glycosylation sites were derived by 51 secreted proteins, and 155 and 29 N-O glycans, respectively, were also identified. Quantification of N-O glycan structures shows how genuinely complex insulin resistance is. None of these studies occurred in </w:t>
      </w:r>
      <w:r>
        <w:rPr>
          <w:rFonts w:ascii="Times New Roman" w:hAnsi="Times New Roman"/>
          <w:color w:val="0E101A"/>
        </w:rPr>
        <w:t>cell culture or animals controlled for molecular hypometabolism, which further confuses the issue of precisely what contributes to insulin resistance.</w:t>
      </w:r>
      <w:r>
        <w:rPr>
          <w:rFonts w:ascii="Times New Roman" w:hAnsi="Times New Roman"/>
          <w:color w:val="0E101A"/>
        </w:rPr>
        <w:t> </w:t>
      </w:r>
    </w:p>
    <w:p w14:paraId="0F6A20C9" w14:textId="77777777" w:rsidR="002F1423" w:rsidRDefault="002F1423">
      <w:pPr>
        <w:pStyle w:val="Default"/>
        <w:spacing w:before="0" w:line="480" w:lineRule="auto"/>
        <w:rPr>
          <w:rFonts w:ascii="Times New Roman" w:eastAsia="Times New Roman" w:hAnsi="Times New Roman" w:cs="Times New Roman"/>
          <w:color w:val="0E101A"/>
        </w:rPr>
      </w:pPr>
    </w:p>
    <w:p w14:paraId="75787B2F" w14:textId="77777777" w:rsidR="002F1423" w:rsidRDefault="00927F0D">
      <w:pPr>
        <w:pStyle w:val="Default"/>
        <w:spacing w:before="0" w:line="480" w:lineRule="auto"/>
        <w:rPr>
          <w:rFonts w:ascii="Times New Roman" w:eastAsia="Times New Roman" w:hAnsi="Times New Roman" w:cs="Times New Roman"/>
          <w:color w:val="0E101A"/>
        </w:rPr>
      </w:pPr>
      <w:r>
        <w:rPr>
          <w:rStyle w:val="Hyperlink0"/>
          <w:rFonts w:ascii="Times New Roman" w:hAnsi="Times New Roman"/>
        </w:rPr>
        <w:t xml:space="preserve">The HBP generates aminosugars </w:t>
      </w:r>
      <w:r>
        <w:rPr>
          <w:rFonts w:ascii="Times New Roman" w:hAnsi="Times New Roman"/>
          <w:color w:val="0E101A"/>
        </w:rPr>
        <w:t>and provides building blocks for glycosyl side chains, proteins, and lipi</w:t>
      </w:r>
      <w:r>
        <w:rPr>
          <w:rFonts w:ascii="Times New Roman" w:hAnsi="Times New Roman"/>
          <w:color w:val="0E101A"/>
        </w:rPr>
        <w:t>ds. All these effects begin with the regulation of GFAT together with OGT, which catalyzes a reversible, posttranslational protein modification in O-linkage to specific serine/threonine residues.</w:t>
      </w:r>
      <w:r>
        <w:rPr>
          <w:rStyle w:val="None"/>
          <w:rFonts w:ascii="Times New Roman" w:hAnsi="Times New Roman"/>
          <w:color w:val="0E101A"/>
          <w:vertAlign w:val="superscript"/>
        </w:rPr>
        <w:t>74</w:t>
      </w:r>
      <w:r>
        <w:rPr>
          <w:rFonts w:ascii="Times New Roman" w:hAnsi="Times New Roman"/>
          <w:color w:val="0E101A"/>
        </w:rPr>
        <w:t xml:space="preserve"> In this sense, HBP acts as a cellular nutrient sensor and </w:t>
      </w:r>
      <w:r>
        <w:rPr>
          <w:rFonts w:ascii="Times New Roman" w:hAnsi="Times New Roman"/>
          <w:color w:val="0E101A"/>
        </w:rPr>
        <w:t>plays a role in developing insulin resistance, not to mention the vascular complications of diabetes. Crucial in this last function, complications of diabetes are the induction of TGF</w:t>
      </w:r>
      <w:r>
        <w:rPr>
          <w:rFonts w:ascii="Times New Roman" w:hAnsi="Times New Roman"/>
          <w:color w:val="0E101A"/>
        </w:rPr>
        <w:t>β</w:t>
      </w:r>
      <w:r>
        <w:rPr>
          <w:rFonts w:ascii="Times New Roman" w:hAnsi="Times New Roman"/>
          <w:color w:val="0E101A"/>
        </w:rPr>
        <w:t>-1 and plasminogen activator inhibitor-1 in vascular smooth muscle cells</w:t>
      </w:r>
      <w:r>
        <w:rPr>
          <w:rFonts w:ascii="Times New Roman" w:hAnsi="Times New Roman"/>
          <w:color w:val="0E101A"/>
        </w:rPr>
        <w:t xml:space="preserve">, renal cells, and aortic endothelial cells. In this era of implantable insulin pumps, there is speculation about titrating inhibitors and activators of GFAT. Still, there are no published studies to confirm a </w:t>
      </w:r>
      <w:r>
        <w:rPr>
          <w:rFonts w:ascii="Times New Roman" w:hAnsi="Times New Roman"/>
          <w:color w:val="0E101A"/>
        </w:rPr>
        <w:t>“</w:t>
      </w:r>
      <w:r>
        <w:rPr>
          <w:rFonts w:ascii="Times New Roman" w:hAnsi="Times New Roman"/>
          <w:color w:val="0E101A"/>
        </w:rPr>
        <w:t>magic bullet</w:t>
      </w:r>
      <w:r>
        <w:rPr>
          <w:rFonts w:ascii="Times New Roman" w:hAnsi="Times New Roman"/>
          <w:color w:val="0E101A"/>
        </w:rPr>
        <w:t>”</w:t>
      </w:r>
      <w:r>
        <w:rPr>
          <w:rFonts w:ascii="Times New Roman" w:hAnsi="Times New Roman"/>
          <w:color w:val="0E101A"/>
        </w:rPr>
        <w:t xml:space="preserve"> for the treatment of diabetes and obesity.</w:t>
      </w:r>
      <w:r>
        <w:rPr>
          <w:rFonts w:ascii="Times New Roman" w:hAnsi="Times New Roman"/>
          <w:color w:val="0E101A"/>
        </w:rPr>
        <w:t> </w:t>
      </w:r>
    </w:p>
    <w:p w14:paraId="2A1AB4CF" w14:textId="77777777" w:rsidR="002F1423" w:rsidRDefault="002F1423">
      <w:pPr>
        <w:pStyle w:val="Default"/>
        <w:spacing w:before="0" w:line="480" w:lineRule="auto"/>
        <w:rPr>
          <w:rFonts w:ascii="Times New Roman" w:eastAsia="Times New Roman" w:hAnsi="Times New Roman" w:cs="Times New Roman"/>
          <w:color w:val="0E101A"/>
        </w:rPr>
      </w:pPr>
    </w:p>
    <w:p w14:paraId="5D97310E"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rPr>
        <w:t>8.4 T Regulatory Cells and Proliferative Physiology</w:t>
      </w:r>
    </w:p>
    <w:p w14:paraId="0C41C759" w14:textId="77777777" w:rsidR="002F1423" w:rsidRDefault="002F1423">
      <w:pPr>
        <w:pStyle w:val="Default"/>
        <w:spacing w:before="0" w:line="480" w:lineRule="auto"/>
        <w:rPr>
          <w:rFonts w:ascii="Times New Roman" w:eastAsia="Times New Roman" w:hAnsi="Times New Roman" w:cs="Times New Roman"/>
          <w:color w:val="0E101A"/>
        </w:rPr>
      </w:pPr>
    </w:p>
    <w:p w14:paraId="52894BF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fourth element of CIRS, in which proliferative physiology plays a crucial role, is the balance of production of T-regulatory cells versus T-effector cell</w:t>
      </w:r>
      <w:r>
        <w:rPr>
          <w:rFonts w:ascii="Times New Roman" w:hAnsi="Times New Roman"/>
          <w:color w:val="0E101A"/>
        </w:rPr>
        <w:t>s. Acquired T-regs were CD4+CD25++. Thymus-derived T-regs were CD4+CD25++ CD127 -/lo. The CD25 indicates a binding site for IL2; the CD127 is a binding site for IL7. Having these two types of T reg cells enumerated by flow cytometry provided a rapid determ</w:t>
      </w:r>
      <w:r>
        <w:rPr>
          <w:rFonts w:ascii="Times New Roman" w:hAnsi="Times New Roman"/>
          <w:color w:val="0E101A"/>
        </w:rPr>
        <w:t>ination of whether CIRS patients had deficiencies of T-regulatory cells or not. It also became clear that treatment with VIP corrected the deficiency of T regs.</w:t>
      </w:r>
    </w:p>
    <w:p w14:paraId="78342A21" w14:textId="77777777" w:rsidR="002F1423" w:rsidRDefault="002F1423">
      <w:pPr>
        <w:pStyle w:val="Default"/>
        <w:spacing w:before="0" w:line="480" w:lineRule="auto"/>
        <w:rPr>
          <w:rFonts w:ascii="Times New Roman" w:eastAsia="Times New Roman" w:hAnsi="Times New Roman" w:cs="Times New Roman"/>
          <w:color w:val="0E101A"/>
        </w:rPr>
      </w:pPr>
    </w:p>
    <w:p w14:paraId="0441274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T-regs will interact with retinoic acid orphan receptors in tissue to suppress </w:t>
      </w:r>
      <w:r>
        <w:rPr>
          <w:rFonts w:ascii="Times New Roman" w:hAnsi="Times New Roman"/>
          <w:color w:val="0E101A"/>
        </w:rPr>
        <w:t xml:space="preserve">tissue-based inflammation and reduce autoimmunity. If ROR is not present in normal amounts, the T-reg cells are plasticized and made into T-effector cells. These cells made more </w:t>
      </w:r>
      <w:r>
        <w:rPr>
          <w:rFonts w:ascii="Times New Roman" w:hAnsi="Times New Roman"/>
          <w:color w:val="0E101A"/>
          <w:lang w:val="pt-PT"/>
        </w:rPr>
        <w:t>TGF</w:t>
      </w:r>
      <w:r>
        <w:rPr>
          <w:rFonts w:ascii="Times New Roman" w:hAnsi="Times New Roman"/>
          <w:color w:val="0E101A"/>
        </w:rPr>
        <w:t>β</w:t>
      </w:r>
      <w:r>
        <w:rPr>
          <w:rFonts w:ascii="Times New Roman" w:hAnsi="Times New Roman"/>
          <w:color w:val="0E101A"/>
        </w:rPr>
        <w:t xml:space="preserve">-1, setting up a positive feedback loop leading to a deficiency of T </w:t>
      </w:r>
      <w:r>
        <w:rPr>
          <w:rFonts w:ascii="Times New Roman" w:hAnsi="Times New Roman"/>
          <w:color w:val="0E101A"/>
        </w:rPr>
        <w:t>regs.</w:t>
      </w:r>
    </w:p>
    <w:p w14:paraId="528DA3CA" w14:textId="77777777" w:rsidR="002F1423" w:rsidRDefault="002F1423">
      <w:pPr>
        <w:pStyle w:val="Default"/>
        <w:spacing w:before="0" w:line="480" w:lineRule="auto"/>
        <w:rPr>
          <w:rFonts w:ascii="Times New Roman" w:eastAsia="Times New Roman" w:hAnsi="Times New Roman" w:cs="Times New Roman"/>
          <w:color w:val="0E101A"/>
        </w:rPr>
      </w:pPr>
    </w:p>
    <w:p w14:paraId="1ED16F0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For years, the feedback loop idea provided a working hypothesis to explain why low levels of T-regs link to putative deficiencies of ROR. Still, there were no assays to demonstrate ROR without obtaining tissue by biopsy. The unconfirmed idea of assi</w:t>
      </w:r>
      <w:r>
        <w:rPr>
          <w:rFonts w:ascii="Times New Roman" w:hAnsi="Times New Roman"/>
          <w:color w:val="0E101A"/>
        </w:rPr>
        <w:t>gning causation by ROR had little support. Impairment of normal production of T-regs cells in favor of T-effector cells accrues when lymphocytes proliferate in response to a metabolic or inflammatory stressor.</w:t>
      </w:r>
      <w:r>
        <w:rPr>
          <w:rFonts w:ascii="Times New Roman" w:hAnsi="Times New Roman"/>
          <w:color w:val="0E101A"/>
        </w:rPr>
        <w:t> </w:t>
      </w:r>
    </w:p>
    <w:p w14:paraId="639D0F92" w14:textId="77777777" w:rsidR="002F1423" w:rsidRDefault="002F1423">
      <w:pPr>
        <w:pStyle w:val="Default"/>
        <w:spacing w:before="0" w:line="480" w:lineRule="auto"/>
        <w:rPr>
          <w:rFonts w:ascii="Times New Roman" w:eastAsia="Times New Roman" w:hAnsi="Times New Roman" w:cs="Times New Roman"/>
          <w:color w:val="0E101A"/>
        </w:rPr>
      </w:pPr>
    </w:p>
    <w:p w14:paraId="1B6B3E7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Indeed, this mechanism has been known for ye</w:t>
      </w:r>
      <w:r>
        <w:rPr>
          <w:rFonts w:ascii="Times New Roman" w:hAnsi="Times New Roman"/>
          <w:color w:val="0E101A"/>
        </w:rPr>
        <w:t>ars. Unfortunately, the link between metabolism and inflammation and T reg suppression has reduced current literature attention. We find in T-regulatory cells that repression of Akt/mTOR hypoxia-inducible factor-1 alpha ) and aerobic glycolysis are importa</w:t>
      </w:r>
      <w:r>
        <w:rPr>
          <w:rFonts w:ascii="Times New Roman" w:hAnsi="Times New Roman"/>
          <w:color w:val="0E101A"/>
        </w:rPr>
        <w:t>nt for the suppression of efficient generation of T-reg cells. Those same pathways suppress T-reg cell development and mature T-reg cells.</w:t>
      </w:r>
      <w:r>
        <w:rPr>
          <w:rStyle w:val="None"/>
          <w:rFonts w:ascii="Times New Roman" w:hAnsi="Times New Roman"/>
          <w:color w:val="0E101A"/>
          <w:vertAlign w:val="superscript"/>
        </w:rPr>
        <w:t>75</w:t>
      </w:r>
      <w:r>
        <w:rPr>
          <w:rFonts w:ascii="Times New Roman" w:hAnsi="Times New Roman"/>
          <w:color w:val="0E101A"/>
        </w:rPr>
        <w:t> </w:t>
      </w:r>
    </w:p>
    <w:p w14:paraId="7C4725D3" w14:textId="77777777" w:rsidR="002F1423" w:rsidRDefault="002F1423">
      <w:pPr>
        <w:pStyle w:val="Default"/>
        <w:spacing w:before="0" w:line="480" w:lineRule="auto"/>
        <w:rPr>
          <w:rFonts w:ascii="Times New Roman" w:eastAsia="Times New Roman" w:hAnsi="Times New Roman" w:cs="Times New Roman"/>
          <w:color w:val="0E101A"/>
        </w:rPr>
      </w:pPr>
    </w:p>
    <w:p w14:paraId="5083195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As discussed in metabolic acidosis and pulmonary hypertension, the link between IRS2 and Akt/mTOR, glycogen, HIF-</w:t>
      </w:r>
      <w:r>
        <w:rPr>
          <w:rFonts w:ascii="Times New Roman" w:hAnsi="Times New Roman"/>
          <w:color w:val="0E101A"/>
        </w:rPr>
        <w:t>1</w:t>
      </w:r>
      <w:r>
        <w:rPr>
          <w:rFonts w:ascii="Times New Roman" w:hAnsi="Times New Roman"/>
          <w:color w:val="0E101A"/>
        </w:rPr>
        <w:t>α</w:t>
      </w:r>
      <w:r>
        <w:rPr>
          <w:rFonts w:ascii="Times New Roman" w:hAnsi="Times New Roman"/>
          <w:color w:val="0E101A"/>
        </w:rPr>
        <w:t>, and aerobic glycolysis follows the same pathways in lymphocytes. The net result is a varied effect of the same molecular basis in metabolism that affects human health.</w:t>
      </w:r>
      <w:r>
        <w:rPr>
          <w:rFonts w:ascii="Times New Roman" w:hAnsi="Times New Roman"/>
          <w:color w:val="0E101A"/>
        </w:rPr>
        <w:t>  </w:t>
      </w:r>
    </w:p>
    <w:p w14:paraId="507125F5" w14:textId="77777777" w:rsidR="002F1423" w:rsidRDefault="002F1423">
      <w:pPr>
        <w:pStyle w:val="Default"/>
        <w:spacing w:before="0" w:line="480" w:lineRule="auto"/>
        <w:rPr>
          <w:rFonts w:ascii="Times New Roman" w:eastAsia="Times New Roman" w:hAnsi="Times New Roman" w:cs="Times New Roman"/>
          <w:color w:val="0E101A"/>
        </w:rPr>
      </w:pPr>
    </w:p>
    <w:p w14:paraId="1FC9F6AE"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Toll-like receptor signaling will promote T-reg cell differentiation. We also see</w:t>
      </w:r>
      <w:r>
        <w:rPr>
          <w:rFonts w:ascii="Times New Roman" w:hAnsi="Times New Roman"/>
          <w:color w:val="0E101A"/>
        </w:rPr>
        <w:t xml:space="preserve"> increases in Akt/mTOR, HIF-1</w:t>
      </w:r>
      <w:r>
        <w:rPr>
          <w:rFonts w:ascii="Times New Roman" w:hAnsi="Times New Roman"/>
          <w:color w:val="0E101A"/>
        </w:rPr>
        <w:t>α</w:t>
      </w:r>
      <w:r>
        <w:rPr>
          <w:rFonts w:ascii="Times New Roman" w:hAnsi="Times New Roman"/>
          <w:color w:val="0E101A"/>
        </w:rPr>
        <w:t xml:space="preserve">, and aerobic glycolysis. If we add in an additional confounder, a transcription factor, FoxP3 blocks this activation of Akt/mTOR so that the reduction of glycolysis that follows can increase oxidative metabolism and increase </w:t>
      </w:r>
      <w:r>
        <w:rPr>
          <w:rFonts w:ascii="Times New Roman" w:hAnsi="Times New Roman"/>
          <w:color w:val="0E101A"/>
        </w:rPr>
        <w:t>T-regs.</w:t>
      </w:r>
    </w:p>
    <w:p w14:paraId="2209406A" w14:textId="77777777" w:rsidR="002F1423" w:rsidRDefault="002F1423">
      <w:pPr>
        <w:pStyle w:val="Default"/>
        <w:spacing w:before="0" w:line="480" w:lineRule="auto"/>
        <w:rPr>
          <w:rFonts w:ascii="Times New Roman" w:eastAsia="Times New Roman" w:hAnsi="Times New Roman" w:cs="Times New Roman"/>
          <w:color w:val="0E101A"/>
        </w:rPr>
      </w:pPr>
    </w:p>
    <w:p w14:paraId="57F8D5C2"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rPr>
        <w:t>8.5 Brain Atrophy</w:t>
      </w:r>
    </w:p>
    <w:p w14:paraId="002D569C" w14:textId="77777777" w:rsidR="002F1423" w:rsidRDefault="002F1423">
      <w:pPr>
        <w:pStyle w:val="Default"/>
        <w:spacing w:before="0" w:line="480" w:lineRule="auto"/>
        <w:rPr>
          <w:rFonts w:ascii="Times New Roman" w:eastAsia="Times New Roman" w:hAnsi="Times New Roman" w:cs="Times New Roman"/>
          <w:color w:val="0E101A"/>
        </w:rPr>
      </w:pPr>
    </w:p>
    <w:p w14:paraId="66605E0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Given the commonality of aerobic glycolysis in proliferative physiology seen in the systemic illness of those with chronic fatigue, a search was extended to the literature looking for evidence for proliferative </w:t>
      </w:r>
      <w:r>
        <w:rPr>
          <w:rFonts w:ascii="Times New Roman" w:hAnsi="Times New Roman"/>
          <w:color w:val="0E101A"/>
        </w:rPr>
        <w:t>physiology in the brain. The observations of</w:t>
      </w:r>
      <w:r>
        <w:rPr>
          <w:rFonts w:ascii="Times New Roman" w:hAnsi="Times New Roman"/>
          <w:color w:val="0E101A"/>
        </w:rPr>
        <w:t> </w:t>
      </w:r>
    </w:p>
    <w:p w14:paraId="1A0558E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   </w:t>
      </w:r>
      <w:r>
        <w:rPr>
          <w:rFonts w:ascii="Times New Roman" w:hAnsi="Times New Roman"/>
          <w:color w:val="0E101A"/>
        </w:rPr>
        <w:t>1.</w:t>
      </w:r>
      <w:r>
        <w:rPr>
          <w:rFonts w:ascii="Times New Roman" w:hAnsi="Times New Roman"/>
          <w:color w:val="0E101A"/>
        </w:rPr>
        <w:t xml:space="preserve">   grey matter nuclear atrophy</w:t>
      </w:r>
      <w:r>
        <w:rPr>
          <w:rFonts w:ascii="Times New Roman" w:hAnsi="Times New Roman"/>
          <w:color w:val="0E101A"/>
        </w:rPr>
        <w:t> </w:t>
      </w:r>
    </w:p>
    <w:p w14:paraId="5A30EDB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   </w:t>
      </w:r>
      <w:r>
        <w:rPr>
          <w:rFonts w:ascii="Times New Roman" w:hAnsi="Times New Roman"/>
          <w:color w:val="0E101A"/>
        </w:rPr>
        <w:t>2.</w:t>
      </w:r>
      <w:r>
        <w:rPr>
          <w:rFonts w:ascii="Times New Roman" w:hAnsi="Times New Roman"/>
          <w:color w:val="0E101A"/>
        </w:rPr>
        <w:t xml:space="preserve">   atrophy of cortical grey</w:t>
      </w:r>
    </w:p>
    <w:p w14:paraId="221C3DC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   </w:t>
      </w:r>
      <w:r>
        <w:rPr>
          <w:rFonts w:ascii="Times New Roman" w:hAnsi="Times New Roman"/>
          <w:color w:val="0E101A"/>
        </w:rPr>
        <w:t>3.</w:t>
      </w:r>
      <w:r>
        <w:rPr>
          <w:rFonts w:ascii="Times New Roman" w:hAnsi="Times New Roman"/>
          <w:color w:val="0E101A"/>
        </w:rPr>
        <w:t xml:space="preserve">   superior lateral ventricle enlargement, as seen on NeuroQuant</w:t>
      </w:r>
      <w:r>
        <w:rPr>
          <w:rFonts w:ascii="Times New Roman" w:hAnsi="Times New Roman"/>
          <w:color w:val="0E101A"/>
        </w:rPr>
        <w:t>®</w:t>
      </w:r>
      <w:r>
        <w:rPr>
          <w:rFonts w:ascii="Times New Roman" w:hAnsi="Times New Roman"/>
          <w:color w:val="0E101A"/>
        </w:rPr>
        <w:t xml:space="preserve">, are consistent with what we would expect to see if there were </w:t>
      </w:r>
      <w:r>
        <w:rPr>
          <w:rFonts w:ascii="Times New Roman" w:hAnsi="Times New Roman"/>
          <w:color w:val="0E101A"/>
        </w:rPr>
        <w:t>adverse effects of proliferative physiology in the brain.</w:t>
      </w:r>
      <w:r>
        <w:rPr>
          <w:rFonts w:ascii="Times New Roman" w:hAnsi="Times New Roman"/>
          <w:color w:val="0E101A"/>
        </w:rPr>
        <w:t> </w:t>
      </w:r>
    </w:p>
    <w:p w14:paraId="3079D866" w14:textId="77777777" w:rsidR="002F1423" w:rsidRDefault="002F1423">
      <w:pPr>
        <w:pStyle w:val="Default"/>
        <w:spacing w:before="0" w:line="480" w:lineRule="auto"/>
        <w:rPr>
          <w:rFonts w:ascii="Times New Roman" w:eastAsia="Times New Roman" w:hAnsi="Times New Roman" w:cs="Times New Roman"/>
          <w:color w:val="0E101A"/>
        </w:rPr>
      </w:pPr>
    </w:p>
    <w:p w14:paraId="4D6F9F3D"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Finding such evidence would complete the unifying thread that encircles CIRS as a metabolic disorder causing the end-organ injury seen in chronic fatiguing illnesses.</w:t>
      </w:r>
    </w:p>
    <w:p w14:paraId="4E3CCD5D" w14:textId="77777777" w:rsidR="002F1423" w:rsidRDefault="002F1423">
      <w:pPr>
        <w:pStyle w:val="Default"/>
        <w:spacing w:before="0" w:line="480" w:lineRule="auto"/>
        <w:rPr>
          <w:rFonts w:ascii="Times New Roman" w:eastAsia="Times New Roman" w:hAnsi="Times New Roman" w:cs="Times New Roman"/>
          <w:color w:val="0E101A"/>
        </w:rPr>
      </w:pPr>
    </w:p>
    <w:p w14:paraId="0D9F395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Work from the lab of Yellen,</w:t>
      </w:r>
      <w:r>
        <w:rPr>
          <w:rFonts w:ascii="Times New Roman" w:hAnsi="Times New Roman"/>
          <w:color w:val="0E101A"/>
        </w:rPr>
        <w:t xml:space="preserve"> including Diaz-Garcia, has provided evidence of the extrapolation of systemic proliferative physiology to the brain.</w:t>
      </w:r>
      <w:r>
        <w:rPr>
          <w:rStyle w:val="None"/>
          <w:rFonts w:ascii="Times New Roman" w:hAnsi="Times New Roman"/>
          <w:color w:val="0E101A"/>
          <w:vertAlign w:val="superscript"/>
        </w:rPr>
        <w:t>76</w:t>
      </w:r>
      <w:r>
        <w:rPr>
          <w:rFonts w:ascii="Times New Roman" w:hAnsi="Times New Roman"/>
          <w:color w:val="0E101A"/>
        </w:rPr>
        <w:t xml:space="preserve"> Neuronal stimulation triggers neuronal glycolysis, which is not surprising since normal brain function requires 20% of whole-body energy</w:t>
      </w:r>
      <w:r>
        <w:rPr>
          <w:rFonts w:ascii="Times New Roman" w:hAnsi="Times New Roman"/>
          <w:color w:val="0E101A"/>
        </w:rPr>
        <w:t>.</w:t>
      </w:r>
      <w:r>
        <w:rPr>
          <w:rStyle w:val="Hyperlink0"/>
          <w:rFonts w:ascii="Times New Roman" w:hAnsi="Times New Roman"/>
        </w:rPr>
        <w:t xml:space="preserve"> Neurons will preferentially use aerobic glycolysis during brain stimulation instead of oxidative phosphorylation and ETC activation in mitochondria.</w:t>
      </w:r>
      <w:r>
        <w:rPr>
          <w:rFonts w:ascii="Times New Roman" w:hAnsi="Times New Roman"/>
          <w:color w:val="0E101A"/>
        </w:rPr>
        <w:t xml:space="preserve"> It is unclear whether proliferative physiology is confined to neurons or generalizes to other brain cells</w:t>
      </w:r>
      <w:r>
        <w:rPr>
          <w:rFonts w:ascii="Times New Roman" w:hAnsi="Times New Roman"/>
          <w:color w:val="0E101A"/>
        </w:rPr>
        <w:t>. The authors used hippocampal slices of mice to show that neuronal metabolic response to stimulation does not depend on astrocytic contribution, nor do they require neuronal uptake of lactate.</w:t>
      </w:r>
      <w:r>
        <w:rPr>
          <w:rFonts w:ascii="Times New Roman" w:hAnsi="Times New Roman"/>
          <w:color w:val="0E101A"/>
        </w:rPr>
        <w:t> </w:t>
      </w:r>
    </w:p>
    <w:p w14:paraId="306755D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w:t>
      </w:r>
    </w:p>
    <w:p w14:paraId="0754B20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This paper from Yellen's lab looks for aerobic glycolysis i</w:t>
      </w:r>
      <w:r>
        <w:rPr>
          <w:rFonts w:ascii="Times New Roman" w:hAnsi="Times New Roman"/>
          <w:color w:val="0E101A"/>
        </w:rPr>
        <w:t>n the brain's transient response to activation.</w:t>
      </w:r>
      <w:r>
        <w:rPr>
          <w:rStyle w:val="None"/>
          <w:rFonts w:ascii="Times New Roman" w:hAnsi="Times New Roman"/>
          <w:color w:val="0E101A"/>
          <w:vertAlign w:val="superscript"/>
        </w:rPr>
        <w:t>77</w:t>
      </w:r>
      <w:r>
        <w:rPr>
          <w:rFonts w:ascii="Times New Roman" w:hAnsi="Times New Roman"/>
          <w:color w:val="0E101A"/>
        </w:rPr>
        <w:t xml:space="preserve"> It also addresses possible cellular mechanisms for metabolic resupply of energy and neurons. Unfortunately, without consideration of voltage-dependent anion channels, we are left with an open question regar</w:t>
      </w:r>
      <w:r>
        <w:rPr>
          <w:rFonts w:ascii="Times New Roman" w:hAnsi="Times New Roman"/>
          <w:color w:val="0E101A"/>
        </w:rPr>
        <w:t>ding the continuation of proliferative physiology following stimulation.</w:t>
      </w:r>
      <w:r>
        <w:rPr>
          <w:rFonts w:ascii="Times New Roman" w:hAnsi="Times New Roman"/>
          <w:color w:val="0E101A"/>
        </w:rPr>
        <w:t> </w:t>
      </w:r>
    </w:p>
    <w:p w14:paraId="573FAF95" w14:textId="77777777" w:rsidR="002F1423" w:rsidRDefault="002F1423">
      <w:pPr>
        <w:pStyle w:val="Default"/>
        <w:spacing w:before="0" w:line="480" w:lineRule="auto"/>
        <w:rPr>
          <w:rFonts w:ascii="Times New Roman" w:eastAsia="Times New Roman" w:hAnsi="Times New Roman" w:cs="Times New Roman"/>
          <w:color w:val="0E101A"/>
        </w:rPr>
      </w:pPr>
    </w:p>
    <w:p w14:paraId="413FC19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An additional question regarding neuronal consumption of oxygen and glucose has to do with the plasticity of activity given a different set of activity patterns. The speculation was</w:t>
      </w:r>
      <w:r>
        <w:rPr>
          <w:rFonts w:ascii="Times New Roman" w:hAnsi="Times New Roman"/>
          <w:color w:val="0E101A"/>
        </w:rPr>
        <w:t xml:space="preserve"> that different gene expression programs would be involved. The authors note the crucial role of MAPK/ERK but again do not discuss MAPK activation following IRS2 activation.</w:t>
      </w:r>
      <w:r>
        <w:rPr>
          <w:rStyle w:val="None"/>
          <w:rFonts w:ascii="Times New Roman" w:hAnsi="Times New Roman"/>
          <w:color w:val="0E101A"/>
          <w:vertAlign w:val="superscript"/>
        </w:rPr>
        <w:t>78</w:t>
      </w:r>
      <w:r>
        <w:rPr>
          <w:rFonts w:ascii="Times New Roman" w:hAnsi="Times New Roman"/>
          <w:color w:val="0E101A"/>
        </w:rPr>
        <w:t xml:space="preserve"> Based on MAPK activation of other tissues, one would expect to find IRS2 activat</w:t>
      </w:r>
      <w:r>
        <w:rPr>
          <w:rFonts w:ascii="Times New Roman" w:hAnsi="Times New Roman"/>
          <w:color w:val="0E101A"/>
        </w:rPr>
        <w:t>ion as a precursor. Changes in gene activation will be subject to translocase function and VDAC opening.</w:t>
      </w:r>
      <w:r>
        <w:rPr>
          <w:rFonts w:ascii="Times New Roman" w:hAnsi="Times New Roman"/>
          <w:color w:val="0E101A"/>
        </w:rPr>
        <w:t> </w:t>
      </w:r>
    </w:p>
    <w:p w14:paraId="45F1BABB" w14:textId="77777777" w:rsidR="002F1423" w:rsidRDefault="002F1423">
      <w:pPr>
        <w:pStyle w:val="Default"/>
        <w:spacing w:before="0" w:line="480" w:lineRule="auto"/>
        <w:rPr>
          <w:rFonts w:ascii="Times New Roman" w:eastAsia="Times New Roman" w:hAnsi="Times New Roman" w:cs="Times New Roman"/>
          <w:color w:val="0E101A"/>
        </w:rPr>
      </w:pPr>
    </w:p>
    <w:p w14:paraId="659576B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From Yellen's lab,</w:t>
      </w:r>
      <w:r>
        <w:rPr>
          <w:rStyle w:val="None"/>
          <w:rFonts w:ascii="Times New Roman" w:hAnsi="Times New Roman"/>
          <w:color w:val="0E101A"/>
          <w:vertAlign w:val="superscript"/>
        </w:rPr>
        <w:t>79</w:t>
      </w:r>
      <w:r>
        <w:rPr>
          <w:rFonts w:ascii="Times New Roman" w:hAnsi="Times New Roman"/>
          <w:color w:val="0E101A"/>
        </w:rPr>
        <w:t xml:space="preserve"> metabolism will increase during stimulation, but not all energy metabolism is equally affected. An increase in local cerebral blood flow with increased glucose uptake, not matched by a similar increase in oxygen consumption, suggests that glycolysis becom</w:t>
      </w:r>
      <w:r>
        <w:rPr>
          <w:rFonts w:ascii="Times New Roman" w:hAnsi="Times New Roman"/>
          <w:color w:val="0E101A"/>
        </w:rPr>
        <w:t>es a dominant metabolic pathway producing energy. These changes in the brain correspond to a temporary increase in lactate production not well measured at the bedside except with magnetic resonance spectroscopy. This paper provides evidence that stimulated</w:t>
      </w:r>
      <w:r>
        <w:rPr>
          <w:rFonts w:ascii="Times New Roman" w:hAnsi="Times New Roman"/>
          <w:color w:val="0E101A"/>
        </w:rPr>
        <w:t xml:space="preserve"> neurons become exporters of lactate, suggesting proliferative physiology.</w:t>
      </w:r>
      <w:r>
        <w:rPr>
          <w:rFonts w:ascii="Times New Roman" w:hAnsi="Times New Roman"/>
          <w:color w:val="0E101A"/>
        </w:rPr>
        <w:t> </w:t>
      </w:r>
    </w:p>
    <w:p w14:paraId="31F84211" w14:textId="77777777" w:rsidR="002F1423" w:rsidRDefault="002F1423">
      <w:pPr>
        <w:pStyle w:val="Default"/>
        <w:spacing w:before="0" w:line="480" w:lineRule="auto"/>
        <w:rPr>
          <w:rFonts w:ascii="Times New Roman" w:eastAsia="Times New Roman" w:hAnsi="Times New Roman" w:cs="Times New Roman"/>
          <w:color w:val="0E101A"/>
        </w:rPr>
      </w:pPr>
    </w:p>
    <w:p w14:paraId="1C0B5C1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As the review above suggests, if proliferative physiology is present, can we extrapolate to adverse effects of proliferative physiology with neurodegeneration, particularly Alzheimer's disease? Here a variety of central nervous system injuries, including t</w:t>
      </w:r>
      <w:r>
        <w:rPr>
          <w:rFonts w:ascii="Times New Roman" w:hAnsi="Times New Roman"/>
          <w:color w:val="0E101A"/>
        </w:rPr>
        <w:t>he presence of beta-amyloid, and reactive astrogliosis (which can disrupt normal glycolysis), weakens astrocytes' relationship to neurons in the purported astrocyte shuttle of lactate to neurons. This cascade impairs normal brain homeostasis, impairs clear</w:t>
      </w:r>
      <w:r>
        <w:rPr>
          <w:rFonts w:ascii="Times New Roman" w:hAnsi="Times New Roman"/>
          <w:color w:val="0E101A"/>
        </w:rPr>
        <w:t>ance of beta-amyloid, promotes cytokine release, and inexorably leads to neurodegeneration.</w:t>
      </w:r>
      <w:r>
        <w:rPr>
          <w:rStyle w:val="None"/>
          <w:rFonts w:ascii="Times New Roman" w:hAnsi="Times New Roman"/>
          <w:color w:val="0E101A"/>
          <w:vertAlign w:val="superscript"/>
        </w:rPr>
        <w:t>80</w:t>
      </w:r>
      <w:r>
        <w:rPr>
          <w:rFonts w:ascii="Times New Roman" w:hAnsi="Times New Roman"/>
          <w:color w:val="0E101A"/>
        </w:rPr>
        <w:t> </w:t>
      </w:r>
    </w:p>
    <w:p w14:paraId="7AD9D1D9" w14:textId="77777777" w:rsidR="002F1423" w:rsidRDefault="002F1423">
      <w:pPr>
        <w:pStyle w:val="Default"/>
        <w:spacing w:before="0" w:line="480" w:lineRule="auto"/>
        <w:rPr>
          <w:rFonts w:ascii="Times New Roman" w:eastAsia="Times New Roman" w:hAnsi="Times New Roman" w:cs="Times New Roman"/>
          <w:color w:val="0E101A"/>
        </w:rPr>
      </w:pPr>
    </w:p>
    <w:p w14:paraId="115461B4"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Microglial cell metabolic physiology is similarly at risk for proliferative physiology. Microglial cells routinely use glucose, fatty acid oxidation, and glutam</w:t>
      </w:r>
      <w:r>
        <w:rPr>
          <w:rFonts w:ascii="Times New Roman" w:hAnsi="Times New Roman"/>
          <w:color w:val="0E101A"/>
        </w:rPr>
        <w:t>ine, with glucose transporters expressed, to supply sufficient glucose intake.</w:t>
      </w:r>
      <w:r>
        <w:rPr>
          <w:rStyle w:val="None"/>
          <w:rFonts w:ascii="Times New Roman" w:hAnsi="Times New Roman"/>
          <w:color w:val="0E101A"/>
          <w:vertAlign w:val="superscript"/>
        </w:rPr>
        <w:t>81</w:t>
      </w:r>
      <w:r>
        <w:rPr>
          <w:rFonts w:ascii="Times New Roman" w:hAnsi="Times New Roman"/>
          <w:color w:val="0E101A"/>
        </w:rPr>
        <w:t xml:space="preserve"> Microglial-fueled metabolism may be associated with glial reactivity with a fuel switch contributing to an underlying cause of hypothalamic dysregulation associated with obesi</w:t>
      </w:r>
      <w:r>
        <w:rPr>
          <w:rFonts w:ascii="Times New Roman" w:hAnsi="Times New Roman"/>
          <w:color w:val="0E101A"/>
        </w:rPr>
        <w:t>ty. There is no comment on proliferative physiology.</w:t>
      </w:r>
      <w:r>
        <w:rPr>
          <w:rStyle w:val="None"/>
          <w:rFonts w:ascii="Times New Roman" w:hAnsi="Times New Roman"/>
          <w:color w:val="0E101A"/>
          <w:vertAlign w:val="superscript"/>
        </w:rPr>
        <w:t>3</w:t>
      </w:r>
    </w:p>
    <w:p w14:paraId="6D34F135" w14:textId="77777777" w:rsidR="002F1423" w:rsidRDefault="002F1423">
      <w:pPr>
        <w:pStyle w:val="Default"/>
        <w:spacing w:before="0" w:line="480" w:lineRule="auto"/>
        <w:rPr>
          <w:rFonts w:ascii="Times New Roman" w:eastAsia="Times New Roman" w:hAnsi="Times New Roman" w:cs="Times New Roman"/>
          <w:color w:val="0E101A"/>
        </w:rPr>
      </w:pPr>
    </w:p>
    <w:p w14:paraId="23166EA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Supportive cells, including astrocytes and microglial cells aside, neurons also have cellular metabolic demands at nerve terminals. Neurotransmission requires ATP to support energetic demanding steps, </w:t>
      </w:r>
      <w:r>
        <w:rPr>
          <w:rFonts w:ascii="Times New Roman" w:hAnsi="Times New Roman"/>
          <w:color w:val="0E101A"/>
        </w:rPr>
        <w:t>including maintaining ionic gradients or sodium/potassium pumps and reversing changes in intracellular calcium that arise from opening voltage-gated calcium channels.</w:t>
      </w:r>
      <w:r>
        <w:rPr>
          <w:rStyle w:val="None"/>
          <w:rFonts w:ascii="Times New Roman" w:hAnsi="Times New Roman"/>
          <w:color w:val="0E101A"/>
          <w:vertAlign w:val="superscript"/>
        </w:rPr>
        <w:t>82</w:t>
      </w:r>
      <w:r>
        <w:rPr>
          <w:rFonts w:ascii="Times New Roman" w:hAnsi="Times New Roman"/>
          <w:color w:val="0E101A"/>
        </w:rPr>
        <w:t xml:space="preserve"> Energy demands in the brain are met by glycolysis and oxidative phosphorylation, with g</w:t>
      </w:r>
      <w:r>
        <w:rPr>
          <w:rFonts w:ascii="Times New Roman" w:hAnsi="Times New Roman"/>
          <w:color w:val="0E101A"/>
        </w:rPr>
        <w:t>lycolysis dominating the early stages of recovery of synaptic function and dysregulation of glycolysis contributing to neurodegeneration.</w:t>
      </w:r>
      <w:r>
        <w:rPr>
          <w:rFonts w:ascii="Times New Roman" w:hAnsi="Times New Roman"/>
          <w:color w:val="0E101A"/>
        </w:rPr>
        <w:t> </w:t>
      </w:r>
    </w:p>
    <w:p w14:paraId="2E9F9B77" w14:textId="77777777" w:rsidR="002F1423" w:rsidRDefault="002F1423">
      <w:pPr>
        <w:pStyle w:val="Default"/>
        <w:spacing w:before="0" w:line="480" w:lineRule="auto"/>
        <w:rPr>
          <w:rFonts w:ascii="Times New Roman" w:eastAsia="Times New Roman" w:hAnsi="Times New Roman" w:cs="Times New Roman"/>
          <w:color w:val="0E101A"/>
        </w:rPr>
      </w:pPr>
    </w:p>
    <w:p w14:paraId="3C1BF0CF"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Finally, glycogen availability comes into play during the intense activity of the nervous system when energy demand </w:t>
      </w:r>
      <w:r>
        <w:rPr>
          <w:rFonts w:ascii="Times New Roman" w:hAnsi="Times New Roman"/>
          <w:color w:val="0E101A"/>
        </w:rPr>
        <w:t>exceeds supply. Glycogen in astrocytes converts to lactate, some of which is transported to neurons, thereby protecting hypoglycemia and preserving neuronal function.</w:t>
      </w:r>
      <w:r>
        <w:rPr>
          <w:rStyle w:val="None"/>
          <w:rFonts w:ascii="Times New Roman" w:hAnsi="Times New Roman"/>
          <w:color w:val="0E101A"/>
          <w:vertAlign w:val="superscript"/>
        </w:rPr>
        <w:t>83</w:t>
      </w:r>
      <w:r>
        <w:rPr>
          <w:rFonts w:ascii="Times New Roman" w:hAnsi="Times New Roman"/>
          <w:color w:val="0E101A"/>
        </w:rPr>
        <w:t xml:space="preserve"> If there is impairment of conversion of lactate to pyruvate during cerebral metabolic s</w:t>
      </w:r>
      <w:r>
        <w:rPr>
          <w:rFonts w:ascii="Times New Roman" w:hAnsi="Times New Roman"/>
          <w:color w:val="0E101A"/>
        </w:rPr>
        <w:t>tress, the protective effect of lactate is lost.</w:t>
      </w:r>
      <w:r>
        <w:rPr>
          <w:rFonts w:ascii="Times New Roman" w:hAnsi="Times New Roman"/>
          <w:color w:val="0E101A"/>
        </w:rPr>
        <w:t> </w:t>
      </w:r>
    </w:p>
    <w:p w14:paraId="16F2011B" w14:textId="77777777" w:rsidR="002F1423" w:rsidRDefault="002F1423">
      <w:pPr>
        <w:pStyle w:val="Default"/>
        <w:spacing w:before="0" w:line="480" w:lineRule="auto"/>
        <w:rPr>
          <w:rFonts w:ascii="Times New Roman" w:eastAsia="Times New Roman" w:hAnsi="Times New Roman" w:cs="Times New Roman"/>
          <w:color w:val="0E101A"/>
        </w:rPr>
      </w:pPr>
    </w:p>
    <w:p w14:paraId="5D211C5C"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Taken together, we have supportive data on the adverse effects of proliferative physiology in the brain involving neurons, astrocytes, glial cells, and synapses. Given the role of molecular hypometabolism </w:t>
      </w:r>
      <w:r>
        <w:rPr>
          <w:rFonts w:ascii="Times New Roman" w:hAnsi="Times New Roman"/>
          <w:color w:val="0E101A"/>
        </w:rPr>
        <w:t>in proliferative physiology, the next steps support brain research on metabolic abnormalities found in aerobic glycolysis in SEID and</w:t>
      </w:r>
      <w:r>
        <w:rPr>
          <w:rFonts w:ascii="Times New Roman" w:hAnsi="Times New Roman"/>
          <w:color w:val="0E101A"/>
          <w:lang w:val="pt-PT"/>
        </w:rPr>
        <w:t xml:space="preserve"> CIRS.</w:t>
      </w:r>
      <w:r>
        <w:rPr>
          <w:rFonts w:ascii="Times New Roman" w:hAnsi="Times New Roman"/>
          <w:color w:val="0E101A"/>
        </w:rPr>
        <w:t> </w:t>
      </w:r>
    </w:p>
    <w:p w14:paraId="5A49CE10" w14:textId="77777777" w:rsidR="002F1423" w:rsidRDefault="002F1423">
      <w:pPr>
        <w:pStyle w:val="Default"/>
        <w:spacing w:before="0" w:line="480" w:lineRule="auto"/>
        <w:rPr>
          <w:rFonts w:ascii="Times New Roman" w:eastAsia="Times New Roman" w:hAnsi="Times New Roman" w:cs="Times New Roman"/>
          <w:color w:val="0E101A"/>
        </w:rPr>
      </w:pPr>
    </w:p>
    <w:p w14:paraId="5C731114"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rPr>
        <w:t>9. The Study</w:t>
      </w:r>
    </w:p>
    <w:p w14:paraId="4563213B" w14:textId="77777777" w:rsidR="002F1423" w:rsidRDefault="002F1423">
      <w:pPr>
        <w:pStyle w:val="Default"/>
        <w:spacing w:before="0" w:line="480" w:lineRule="auto"/>
        <w:rPr>
          <w:rFonts w:ascii="Times New Roman" w:eastAsia="Times New Roman" w:hAnsi="Times New Roman" w:cs="Times New Roman"/>
          <w:color w:val="0E101A"/>
        </w:rPr>
      </w:pPr>
    </w:p>
    <w:p w14:paraId="06FE9CA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Using a retrospective waiver for transcriptomic studies from Copernicus Group IRB, Cary, NC, a </w:t>
      </w:r>
      <w:r>
        <w:rPr>
          <w:rFonts w:ascii="Times New Roman" w:hAnsi="Times New Roman"/>
          <w:color w:val="0E101A"/>
        </w:rPr>
        <w:t>collation of clinical charts reviewed 112 consecutive de-identified patients who had transcriptomics testing done, including MHM. Most of the patients also had an anion gap, pulmonary artery pressures, and NeuroQuant</w:t>
      </w:r>
      <w:r>
        <w:rPr>
          <w:rFonts w:ascii="Times New Roman" w:hAnsi="Times New Roman"/>
          <w:color w:val="0E101A"/>
        </w:rPr>
        <w:t xml:space="preserve">® </w:t>
      </w:r>
      <w:r>
        <w:rPr>
          <w:rFonts w:ascii="Times New Roman" w:hAnsi="Times New Roman"/>
          <w:color w:val="0E101A"/>
        </w:rPr>
        <w:t>testing. Not all cases with transcript</w:t>
      </w:r>
      <w:r>
        <w:rPr>
          <w:rFonts w:ascii="Times New Roman" w:hAnsi="Times New Roman"/>
          <w:color w:val="0E101A"/>
        </w:rPr>
        <w:t>omics had an ancillary study. Control groups were from a single medical clinic.</w:t>
      </w:r>
    </w:p>
    <w:p w14:paraId="70CD037E" w14:textId="77777777" w:rsidR="002F1423" w:rsidRDefault="002F1423">
      <w:pPr>
        <w:pStyle w:val="Default"/>
        <w:spacing w:before="0" w:line="480" w:lineRule="auto"/>
        <w:rPr>
          <w:rFonts w:ascii="Times New Roman" w:eastAsia="Times New Roman" w:hAnsi="Times New Roman" w:cs="Times New Roman"/>
          <w:color w:val="0E101A"/>
        </w:rPr>
      </w:pPr>
    </w:p>
    <w:p w14:paraId="040BDB88"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rPr>
        <w:t>9.1 Methods</w:t>
      </w:r>
    </w:p>
    <w:p w14:paraId="55F1B377" w14:textId="77777777" w:rsidR="002F1423" w:rsidRDefault="002F1423">
      <w:pPr>
        <w:pStyle w:val="Default"/>
        <w:spacing w:before="0" w:line="480" w:lineRule="auto"/>
        <w:rPr>
          <w:rFonts w:ascii="Times New Roman" w:eastAsia="Times New Roman" w:hAnsi="Times New Roman" w:cs="Times New Roman"/>
          <w:color w:val="0E101A"/>
        </w:rPr>
      </w:pPr>
    </w:p>
    <w:p w14:paraId="347ECBE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We have permission to present molecular methods used for transcriptomic testing.</w:t>
      </w:r>
    </w:p>
    <w:p w14:paraId="7F601C93" w14:textId="77777777" w:rsidR="002F1423" w:rsidRDefault="002F1423">
      <w:pPr>
        <w:pStyle w:val="Default"/>
        <w:spacing w:before="0" w:line="480" w:lineRule="auto"/>
        <w:rPr>
          <w:rFonts w:ascii="Times New Roman" w:eastAsia="Times New Roman" w:hAnsi="Times New Roman" w:cs="Times New Roman"/>
          <w:color w:val="0E101A"/>
        </w:rPr>
      </w:pPr>
    </w:p>
    <w:p w14:paraId="25352931"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RNA collection, extraction, and labeling PAXgene RNA blood collection tubes (http://www.preanalytix.com/product-catalog/blood/rna/products/paxgene-blood-rna-tube/) were filled with venous blood, incubated for four hours at room temperature, then frozen at </w:t>
      </w:r>
      <w:r>
        <w:rPr>
          <w:rFonts w:ascii="Times New Roman" w:hAnsi="Times New Roman"/>
          <w:color w:val="0E101A"/>
        </w:rPr>
        <w:t>−</w:t>
      </w:r>
      <w:r>
        <w:rPr>
          <w:rFonts w:ascii="Times New Roman" w:hAnsi="Times New Roman"/>
          <w:color w:val="0E101A"/>
        </w:rPr>
        <w:t xml:space="preserve">80 </w:t>
      </w:r>
      <w:r>
        <w:rPr>
          <w:rFonts w:ascii="Times New Roman" w:hAnsi="Times New Roman"/>
          <w:color w:val="0E101A"/>
          <w:lang w:val="it-IT"/>
        </w:rPr>
        <w:t>°</w:t>
      </w:r>
      <w:r>
        <w:rPr>
          <w:rFonts w:ascii="Times New Roman" w:hAnsi="Times New Roman"/>
          <w:color w:val="0E101A"/>
        </w:rPr>
        <w:t>C until RNA extraction. According to the manufacturer's protocol, the total RNA underwent extraction with the Qiagen PAXgene Blood miRNA System kit. The total RNA was analyzed using an Agilent 2100 bioanalyzer (Agilent Technologies, USA) for RNA integ</w:t>
      </w:r>
      <w:r>
        <w:rPr>
          <w:rFonts w:ascii="Times New Roman" w:hAnsi="Times New Roman"/>
          <w:color w:val="0E101A"/>
        </w:rPr>
        <w:t xml:space="preserve">rity and quantified using a NanoDrop ND-2000 (Wilmington, DE). Only samples with Agilent RIN scores </w:t>
      </w:r>
      <w:r>
        <w:rPr>
          <w:rFonts w:ascii="Times New Roman" w:hAnsi="Times New Roman"/>
          <w:color w:val="0E101A"/>
        </w:rPr>
        <w:t xml:space="preserve">≥ </w:t>
      </w:r>
      <w:r>
        <w:rPr>
          <w:rFonts w:ascii="Times New Roman" w:hAnsi="Times New Roman"/>
          <w:color w:val="0E101A"/>
        </w:rPr>
        <w:t>8 were sequenced.</w:t>
      </w:r>
    </w:p>
    <w:p w14:paraId="037A04F6" w14:textId="77777777" w:rsidR="002F1423" w:rsidRDefault="002F1423">
      <w:pPr>
        <w:pStyle w:val="Default"/>
        <w:spacing w:before="0" w:line="480" w:lineRule="auto"/>
        <w:rPr>
          <w:rFonts w:ascii="Times New Roman" w:eastAsia="Times New Roman" w:hAnsi="Times New Roman" w:cs="Times New Roman"/>
          <w:color w:val="0E101A"/>
        </w:rPr>
      </w:pPr>
    </w:p>
    <w:p w14:paraId="7B1D01C5"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rPr>
        <w:t>9.2 Sequencing</w:t>
      </w:r>
    </w:p>
    <w:p w14:paraId="22D9C972" w14:textId="77777777" w:rsidR="002F1423" w:rsidRDefault="002F1423">
      <w:pPr>
        <w:pStyle w:val="Default"/>
        <w:spacing w:before="0" w:line="480" w:lineRule="auto"/>
        <w:rPr>
          <w:rFonts w:ascii="Times New Roman" w:eastAsia="Times New Roman" w:hAnsi="Times New Roman" w:cs="Times New Roman"/>
          <w:color w:val="0E101A"/>
        </w:rPr>
      </w:pPr>
    </w:p>
    <w:p w14:paraId="1811DD0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Sequencing libraries were made from 1ug of total RNA starting material with the Kapa Biosystems stranded </w:t>
      </w:r>
      <w:r>
        <w:rPr>
          <w:rFonts w:ascii="Times New Roman" w:hAnsi="Times New Roman"/>
          <w:color w:val="0E101A"/>
        </w:rPr>
        <w:t>mRNA-Seq kit (www.kapabiosystems.com), according to the manufacturer's instructions for the Illumina platform. The amplified library fragments were purified and checked for quality and concentration using an Advanced Analytical Fragment AnalyzerTM to check</w:t>
      </w:r>
      <w:r>
        <w:rPr>
          <w:rFonts w:ascii="Times New Roman" w:hAnsi="Times New Roman"/>
          <w:color w:val="0E101A"/>
        </w:rPr>
        <w:t xml:space="preserve"> the size and quality of the individual libraries and a Qubit for concentration. Equimolar amounts of individual libraries formed eight groups with a final round of quantification using an Agilent 2100 Bioanalyzer with a High Sensitivity DNA chip (Agilent </w:t>
      </w:r>
      <w:r>
        <w:rPr>
          <w:rFonts w:ascii="Times New Roman" w:hAnsi="Times New Roman"/>
          <w:color w:val="0E101A"/>
        </w:rPr>
        <w:t>Technologies, USA). The pooled samples of eight</w:t>
      </w:r>
      <w:r>
        <w:rPr>
          <w:rStyle w:val="None"/>
          <w:rFonts w:ascii="Times New Roman" w:hAnsi="Times New Roman"/>
          <w:color w:val="0E101A"/>
          <w:vertAlign w:val="superscript"/>
        </w:rPr>
        <w:t>8</w:t>
      </w:r>
      <w:r>
        <w:rPr>
          <w:rFonts w:ascii="Times New Roman" w:hAnsi="Times New Roman"/>
          <w:color w:val="0E101A"/>
        </w:rPr>
        <w:t xml:space="preserve"> were sequenced on an Illumina NextSeq 500 DNA sequencer, using Version 2, high output, 75 bp single-end sequencing reagent kit (Illumina, USA) with a target depth of 60 million reads per sample. The raw data</w:t>
      </w:r>
      <w:r>
        <w:rPr>
          <w:rFonts w:ascii="Times New Roman" w:hAnsi="Times New Roman"/>
          <w:color w:val="0E101A"/>
        </w:rPr>
        <w:t xml:space="preserve"> files were streamed to the BaseSpace data warehouse (basespace.illumina.com) and de-multiplexed by sample into FASTQ files.</w:t>
      </w:r>
    </w:p>
    <w:p w14:paraId="00591B61" w14:textId="77777777" w:rsidR="002F1423" w:rsidRDefault="002F1423">
      <w:pPr>
        <w:pStyle w:val="Default"/>
        <w:spacing w:before="0" w:line="480" w:lineRule="auto"/>
        <w:rPr>
          <w:rFonts w:ascii="Times New Roman" w:eastAsia="Times New Roman" w:hAnsi="Times New Roman" w:cs="Times New Roman"/>
          <w:color w:val="0E101A"/>
        </w:rPr>
      </w:pPr>
    </w:p>
    <w:p w14:paraId="757C16CD"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rPr>
        <w:t>9.3 Sequencing Analysis</w:t>
      </w:r>
    </w:p>
    <w:p w14:paraId="3483AA04" w14:textId="77777777" w:rsidR="002F1423" w:rsidRDefault="002F1423">
      <w:pPr>
        <w:pStyle w:val="Default"/>
        <w:spacing w:before="0" w:line="480" w:lineRule="auto"/>
        <w:rPr>
          <w:rFonts w:ascii="Times New Roman" w:eastAsia="Times New Roman" w:hAnsi="Times New Roman" w:cs="Times New Roman"/>
          <w:color w:val="0E101A"/>
        </w:rPr>
      </w:pPr>
    </w:p>
    <w:p w14:paraId="3A1E20C3"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FASTQ sequencing data in CLC Biomedical Genomics Workbench (BGW) analysis software version 4.0 mapped to </w:t>
      </w:r>
      <w:r>
        <w:rPr>
          <w:rFonts w:ascii="Times New Roman" w:hAnsi="Times New Roman"/>
          <w:color w:val="0E101A"/>
        </w:rPr>
        <w:t>gene regions of the human genome using the USC hgb37 build. Samples were divided into patient and control classes and subjected to Empirical analysis of DGE, as available in the EdgeR Bioconductor package (Robinson et al., 2010). Empirical analysis of DGE</w:t>
      </w:r>
      <w:r>
        <w:rPr>
          <w:rFonts w:ascii="Times New Roman" w:hAnsi="Times New Roman"/>
          <w:color w:val="0E101A"/>
        </w:rPr>
        <w:t> </w:t>
      </w:r>
      <w:r>
        <w:rPr>
          <w:rStyle w:val="Hyperlink0"/>
          <w:rFonts w:ascii="Times New Roman" w:hAnsi="Times New Roman"/>
        </w:rPr>
        <w:t>was run</w:t>
      </w:r>
      <w:r>
        <w:rPr>
          <w:rFonts w:ascii="Times New Roman" w:hAnsi="Times New Roman"/>
          <w:color w:val="0E101A"/>
        </w:rPr>
        <w:t> </w:t>
      </w:r>
      <w:r>
        <w:rPr>
          <w:rFonts w:ascii="Times New Roman" w:hAnsi="Times New Roman"/>
          <w:color w:val="0E101A"/>
        </w:rPr>
        <w:t xml:space="preserve">using all raw data, as suggested in the user guide, but also after using different quality filters on the data. Data filtering consisted of removing hemoglobin alpha and beta reads and scaling remaining entities into reads per million. Scaled </w:t>
      </w:r>
      <w:r>
        <w:rPr>
          <w:rFonts w:ascii="Times New Roman" w:hAnsi="Times New Roman"/>
          <w:color w:val="0E101A"/>
        </w:rPr>
        <w:t>data were then quantile normalized and filtered at four different, increasing expression levels, using genes present in either class at &gt; 0.3, 0.5, 0.75, and 1 reads/million.</w:t>
      </w:r>
      <w:r>
        <w:rPr>
          <w:rStyle w:val="None"/>
          <w:rFonts w:ascii="Times New Roman" w:hAnsi="Times New Roman"/>
          <w:b/>
          <w:bCs/>
          <w:color w:val="0E101A"/>
        </w:rPr>
        <w:t> </w:t>
      </w:r>
      <w:r>
        <w:rPr>
          <w:rFonts w:ascii="Times New Roman" w:hAnsi="Times New Roman"/>
          <w:color w:val="0E101A"/>
        </w:rPr>
        <w:t>The study selected for significantly expressed genes for gene ontology (GO) and m</w:t>
      </w:r>
      <w:r>
        <w:rPr>
          <w:rFonts w:ascii="Times New Roman" w:hAnsi="Times New Roman"/>
          <w:color w:val="0E101A"/>
        </w:rPr>
        <w:t>olecular pathway analysis for possible enrichment of genes compared with specific biological themes using Elsevier's Pathway Studio and the Database for Annotation, Visualization, and Integrated Discovery, v6.8 (DAVID).</w:t>
      </w:r>
      <w:r>
        <w:rPr>
          <w:rFonts w:ascii="Times New Roman" w:hAnsi="Times New Roman"/>
          <w:color w:val="0E101A"/>
        </w:rPr>
        <w:t> </w:t>
      </w:r>
    </w:p>
    <w:p w14:paraId="30DBB35B" w14:textId="77777777" w:rsidR="002F1423" w:rsidRDefault="002F1423">
      <w:pPr>
        <w:pStyle w:val="Default"/>
        <w:spacing w:before="0" w:line="480" w:lineRule="auto"/>
        <w:rPr>
          <w:rFonts w:ascii="Times New Roman" w:eastAsia="Times New Roman" w:hAnsi="Times New Roman" w:cs="Times New Roman"/>
          <w:color w:val="0E101A"/>
        </w:rPr>
      </w:pPr>
    </w:p>
    <w:p w14:paraId="777C6DB7"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rPr>
        <w:t>9.4 Nano</w:t>
      </w:r>
      <w:r>
        <w:rPr>
          <w:rFonts w:ascii="Times New Roman" w:hAnsi="Times New Roman"/>
          <w:b/>
          <w:bCs/>
          <w:color w:val="0E101A"/>
        </w:rPr>
        <w:t>S</w:t>
      </w:r>
      <w:r>
        <w:rPr>
          <w:rFonts w:ascii="Times New Roman" w:hAnsi="Times New Roman"/>
          <w:b/>
          <w:bCs/>
          <w:color w:val="0E101A"/>
        </w:rPr>
        <w:t>tring</w:t>
      </w:r>
    </w:p>
    <w:p w14:paraId="7B8A0681" w14:textId="77777777" w:rsidR="002F1423" w:rsidRDefault="002F1423">
      <w:pPr>
        <w:pStyle w:val="Default"/>
        <w:spacing w:before="0" w:line="480" w:lineRule="auto"/>
        <w:rPr>
          <w:rFonts w:ascii="Times New Roman" w:eastAsia="Times New Roman" w:hAnsi="Times New Roman" w:cs="Times New Roman"/>
          <w:color w:val="0E101A"/>
        </w:rPr>
      </w:pPr>
    </w:p>
    <w:p w14:paraId="79287AF8"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Twenty-four total RNA samples (12 controls and 12 patients) were analyzed using the NanoString platform for direct, multiplexed analysis of mRNA to validate RNA Seq data (www.nanostring.com). This platform captures and detects probes on purified RNA with n</w:t>
      </w:r>
      <w:r>
        <w:rPr>
          <w:rFonts w:ascii="Times New Roman" w:hAnsi="Times New Roman"/>
          <w:color w:val="0E101A"/>
        </w:rPr>
        <w:t>o enzymatic sample manipulation. The comparison used one hundred ng of total RNA against a panel of 185 genes. According to the manufacturer's recommendation, NanoString proof of principal lab in Seattle, WA, ran the samples.</w:t>
      </w:r>
    </w:p>
    <w:p w14:paraId="210282E4" w14:textId="77777777" w:rsidR="002F1423" w:rsidRDefault="002F1423">
      <w:pPr>
        <w:pStyle w:val="Default"/>
        <w:spacing w:before="0" w:line="480" w:lineRule="auto"/>
        <w:rPr>
          <w:rFonts w:ascii="Times New Roman" w:eastAsia="Times New Roman" w:hAnsi="Times New Roman" w:cs="Times New Roman"/>
          <w:color w:val="0E101A"/>
        </w:rPr>
      </w:pPr>
    </w:p>
    <w:p w14:paraId="786435F9"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rPr>
        <w:t>9.5 Results</w:t>
      </w:r>
    </w:p>
    <w:p w14:paraId="377786CC" w14:textId="77777777" w:rsidR="002F1423" w:rsidRDefault="002F1423">
      <w:pPr>
        <w:pStyle w:val="Default"/>
        <w:spacing w:before="0" w:line="480" w:lineRule="auto"/>
        <w:rPr>
          <w:rFonts w:ascii="Times New Roman" w:eastAsia="Times New Roman" w:hAnsi="Times New Roman" w:cs="Times New Roman"/>
          <w:color w:val="0E101A"/>
        </w:rPr>
      </w:pPr>
    </w:p>
    <w:p w14:paraId="7F7B04F7"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We identified fo</w:t>
      </w:r>
      <w:r>
        <w:rPr>
          <w:rFonts w:ascii="Times New Roman" w:hAnsi="Times New Roman"/>
          <w:color w:val="0E101A"/>
        </w:rPr>
        <w:t>ur groups in our total cohort of 112 Stage 1 patients.</w:t>
      </w:r>
      <w:r>
        <w:rPr>
          <w:rFonts w:ascii="Times New Roman" w:hAnsi="Times New Roman"/>
          <w:color w:val="0E101A"/>
        </w:rPr>
        <w:t> </w:t>
      </w:r>
      <w:r>
        <w:rPr>
          <w:rFonts w:ascii="Times New Roman" w:hAnsi="Times New Roman"/>
          <w:color w:val="0E101A"/>
        </w:rPr>
        <w:t>In Group 1, molecular hypometabolism was present with IRS2 upregulation in this cohort of 62 patients. The combination of metabolic hypometabolism and IRS2 upregulation suggests a mechanism for enhance</w:t>
      </w:r>
      <w:r>
        <w:rPr>
          <w:rFonts w:ascii="Times New Roman" w:hAnsi="Times New Roman"/>
          <w:color w:val="0E101A"/>
        </w:rPr>
        <w:t>d grey matter nuclear atrophy in our cases (see Table 1). The mean number of atrophic nuclei seen on NeuroQuant</w:t>
      </w:r>
      <w:r>
        <w:rPr>
          <w:rFonts w:ascii="Times New Roman" w:hAnsi="Times New Roman"/>
          <w:color w:val="0E101A"/>
        </w:rPr>
        <w:t xml:space="preserve">® </w:t>
      </w:r>
      <w:r>
        <w:rPr>
          <w:rFonts w:ascii="Times New Roman" w:hAnsi="Times New Roman"/>
          <w:color w:val="0E101A"/>
        </w:rPr>
        <w:t xml:space="preserve">(NQ) was 4.1. The mean IRS2 was 1.78, with 16.1% of patients exhibiting an increased size of a superior lateral ventricle, an untoward finding </w:t>
      </w:r>
      <w:r>
        <w:rPr>
          <w:rFonts w:ascii="Times New Roman" w:hAnsi="Times New Roman"/>
          <w:color w:val="0E101A"/>
        </w:rPr>
        <w:t xml:space="preserve">consistent with either </w:t>
      </w:r>
    </w:p>
    <w:p w14:paraId="2D7A7529" w14:textId="77777777" w:rsidR="002F1423" w:rsidRDefault="00927F0D">
      <w:pPr>
        <w:pStyle w:val="Default"/>
        <w:numPr>
          <w:ilvl w:val="0"/>
          <w:numId w:val="15"/>
        </w:numPr>
        <w:spacing w:before="0" w:line="480" w:lineRule="auto"/>
        <w:rPr>
          <w:rFonts w:ascii="Times New Roman" w:hAnsi="Times New Roman"/>
        </w:rPr>
      </w:pPr>
      <w:r>
        <w:rPr>
          <w:rFonts w:ascii="Times New Roman" w:hAnsi="Times New Roman"/>
        </w:rPr>
        <w:t xml:space="preserve">obstruction of the flow of cerebral spinal fluid contributing to hydrocephalus (NPH) or </w:t>
      </w:r>
    </w:p>
    <w:p w14:paraId="4DED826E" w14:textId="77777777" w:rsidR="002F1423" w:rsidRDefault="00927F0D">
      <w:pPr>
        <w:pStyle w:val="Default"/>
        <w:numPr>
          <w:ilvl w:val="0"/>
          <w:numId w:val="2"/>
        </w:numPr>
        <w:spacing w:before="0" w:line="480" w:lineRule="auto"/>
        <w:rPr>
          <w:rFonts w:ascii="Times New Roman" w:hAnsi="Times New Roman"/>
          <w:color w:val="0E101A"/>
        </w:rPr>
      </w:pPr>
      <w:r>
        <w:rPr>
          <w:rStyle w:val="Hyperlink0"/>
          <w:rFonts w:ascii="Times New Roman" w:hAnsi="Times New Roman"/>
        </w:rPr>
        <w:t>loss of substance of cortical grey.</w:t>
      </w:r>
    </w:p>
    <w:p w14:paraId="2BB19C51" w14:textId="77777777" w:rsidR="002F1423" w:rsidRDefault="00927F0D">
      <w:pPr>
        <w:pStyle w:val="Default"/>
        <w:spacing w:before="0" w:line="480" w:lineRule="auto"/>
        <w:rPr>
          <w:rFonts w:ascii="Times New Roman" w:eastAsia="Times New Roman" w:hAnsi="Times New Roman" w:cs="Times New Roman"/>
          <w:color w:val="0E101A"/>
        </w:rPr>
      </w:pPr>
      <w:r>
        <w:rPr>
          <w:rStyle w:val="Hyperlink0"/>
          <w:rFonts w:ascii="Times New Roman" w:hAnsi="Times New Roman"/>
        </w:rPr>
        <w:t>No patients showed an increased</w:t>
      </w:r>
      <w:r>
        <w:rPr>
          <w:rStyle w:val="None"/>
          <w:rFonts w:ascii="Times New Roman" w:hAnsi="Times New Roman"/>
          <w:color w:val="FF2600"/>
        </w:rPr>
        <w:t xml:space="preserve"> </w:t>
      </w:r>
      <w:r>
        <w:rPr>
          <w:rFonts w:ascii="Times New Roman" w:hAnsi="Times New Roman"/>
          <w:color w:val="0E101A"/>
        </w:rPr>
        <w:t xml:space="preserve">Evan's Index, ruling out NPH. 80% of cases had pulmonary hypertension (&gt; 30 mm Hg), with widened anion gap seen in 85% of cases. </w:t>
      </w:r>
    </w:p>
    <w:p w14:paraId="57C6878C" w14:textId="77777777" w:rsidR="002F1423" w:rsidRDefault="002F1423">
      <w:pPr>
        <w:pStyle w:val="Default"/>
        <w:spacing w:before="0" w:line="480" w:lineRule="auto"/>
        <w:rPr>
          <w:rFonts w:ascii="Times New Roman" w:eastAsia="Times New Roman" w:hAnsi="Times New Roman" w:cs="Times New Roman"/>
          <w:color w:val="0E101A"/>
        </w:rPr>
      </w:pPr>
    </w:p>
    <w:p w14:paraId="764AE19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In group 2, 26 patients had MHM present but IRS2 negative. Mean atrophic grey matter nuclei were 3.0, suggesting that the enh</w:t>
      </w:r>
      <w:r>
        <w:rPr>
          <w:rFonts w:ascii="Times New Roman" w:hAnsi="Times New Roman"/>
          <w:color w:val="0E101A"/>
        </w:rPr>
        <w:t>anced glucose delivery for glycolysis seen in IRS2 positive has an increased incidence of atrophy of grey matter nuclei compared to those with MHM but with IRS2 negative. Mean IRS2 in cohort 2 was -0.97. Superior lateral ventricle enlargement was less comm</w:t>
      </w:r>
      <w:r>
        <w:rPr>
          <w:rFonts w:ascii="Times New Roman" w:hAnsi="Times New Roman"/>
          <w:color w:val="0E101A"/>
        </w:rPr>
        <w:t>on; 7.6% of patients had this abnormality. PAH occurred in 8%, and a widened anion gap occurred in 20%.</w:t>
      </w:r>
    </w:p>
    <w:p w14:paraId="31BC8478" w14:textId="77777777" w:rsidR="002F1423" w:rsidRDefault="002F1423">
      <w:pPr>
        <w:pStyle w:val="Default"/>
        <w:spacing w:before="0" w:line="480" w:lineRule="auto"/>
        <w:rPr>
          <w:rFonts w:ascii="Times New Roman" w:eastAsia="Times New Roman" w:hAnsi="Times New Roman" w:cs="Times New Roman"/>
          <w:color w:val="0E101A"/>
        </w:rPr>
      </w:pPr>
    </w:p>
    <w:p w14:paraId="2832AEC3"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Group 3 had 16 patients, MHM negative and IRS2 negative. Mean atrophic nuclei was 2.8, with a mean IRS2 value of -1.67. Only one patient had superior l</w:t>
      </w:r>
      <w:r>
        <w:rPr>
          <w:rFonts w:ascii="Times New Roman" w:hAnsi="Times New Roman"/>
          <w:color w:val="0E101A"/>
        </w:rPr>
        <w:t>ateral ventricle enlargement (6.1%). PAH was seen in no patients, while the anion gap widened in 33%.</w:t>
      </w:r>
    </w:p>
    <w:p w14:paraId="3B672709" w14:textId="77777777" w:rsidR="002F1423" w:rsidRDefault="002F1423">
      <w:pPr>
        <w:pStyle w:val="Default"/>
        <w:spacing w:before="0" w:line="480" w:lineRule="auto"/>
        <w:rPr>
          <w:rFonts w:ascii="Times New Roman" w:eastAsia="Times New Roman" w:hAnsi="Times New Roman" w:cs="Times New Roman"/>
          <w:color w:val="0E101A"/>
        </w:rPr>
      </w:pPr>
    </w:p>
    <w:p w14:paraId="7F5166F2"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Group 4 only had 8 cases with MHM negative and IRS2 positive. Atrophic nuclei were 1.16, the lowest of all measured groups, with a mean IRS2 of 1.14. The</w:t>
      </w:r>
      <w:r>
        <w:rPr>
          <w:rFonts w:ascii="Times New Roman" w:hAnsi="Times New Roman"/>
          <w:color w:val="0E101A"/>
        </w:rPr>
        <w:t>re was no superior lateral ventricle enlargement, PAH, or widened anion gap noted.</w:t>
      </w:r>
    </w:p>
    <w:p w14:paraId="70E75A95" w14:textId="77777777" w:rsidR="002F1423" w:rsidRDefault="002F1423">
      <w:pPr>
        <w:pStyle w:val="Default"/>
        <w:spacing w:before="0" w:line="480" w:lineRule="auto"/>
        <w:rPr>
          <w:rFonts w:ascii="Times New Roman" w:eastAsia="Times New Roman" w:hAnsi="Times New Roman" w:cs="Times New Roman"/>
          <w:color w:val="0E101A"/>
        </w:rPr>
      </w:pPr>
    </w:p>
    <w:p w14:paraId="768AEBF4"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rPr>
        <w:t>9.6 Discussion</w:t>
      </w:r>
    </w:p>
    <w:p w14:paraId="4A8AEA26" w14:textId="77777777" w:rsidR="002F1423" w:rsidRDefault="002F1423">
      <w:pPr>
        <w:pStyle w:val="Default"/>
        <w:spacing w:before="0" w:line="480" w:lineRule="auto"/>
        <w:rPr>
          <w:rFonts w:ascii="Times New Roman" w:eastAsia="Times New Roman" w:hAnsi="Times New Roman" w:cs="Times New Roman"/>
          <w:color w:val="0E101A"/>
        </w:rPr>
      </w:pPr>
    </w:p>
    <w:p w14:paraId="4E458D0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As we have discussed in detail, the MHM patients will have suppression of translocases and/or closed VDAC, as shown by elevated tubulins, use of </w:t>
      </w:r>
      <w:r>
        <w:rPr>
          <w:rFonts w:ascii="Times New Roman" w:hAnsi="Times New Roman"/>
          <w:color w:val="0E101A"/>
        </w:rPr>
        <w:t>itraconazole, or reactive exposure to actinomycetes. An open VDAC is required to deliver pyruvate across the outer mitochondrial membrane. If pyruvate cannot get into the mitochondria, there will be no additional ATP. If enhanced glycolysis due to IRS2 pos</w:t>
      </w:r>
      <w:r>
        <w:rPr>
          <w:rFonts w:ascii="Times New Roman" w:hAnsi="Times New Roman"/>
          <w:color w:val="0E101A"/>
        </w:rPr>
        <w:t>itivity is present, an additional influx of glucose enters the cell for cytosolic aerobic glycolysis conversion to lactic acid. Lactic acid is then exported outside the cell, contributing to metabolic acidosis.</w:t>
      </w:r>
      <w:r>
        <w:rPr>
          <w:rFonts w:ascii="Times New Roman" w:hAnsi="Times New Roman"/>
          <w:color w:val="0E101A"/>
        </w:rPr>
        <w:t> </w:t>
      </w:r>
    </w:p>
    <w:p w14:paraId="5D40C5A5" w14:textId="77777777" w:rsidR="002F1423" w:rsidRDefault="002F1423">
      <w:pPr>
        <w:pStyle w:val="Default"/>
        <w:spacing w:before="0" w:line="480" w:lineRule="auto"/>
        <w:rPr>
          <w:rFonts w:ascii="Times New Roman" w:eastAsia="Times New Roman" w:hAnsi="Times New Roman" w:cs="Times New Roman"/>
          <w:color w:val="0E101A"/>
        </w:rPr>
      </w:pPr>
    </w:p>
    <w:p w14:paraId="18EB454D"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combination of metabolic hypometabolism</w:t>
      </w:r>
      <w:r>
        <w:rPr>
          <w:rFonts w:ascii="Times New Roman" w:hAnsi="Times New Roman"/>
          <w:color w:val="0E101A"/>
        </w:rPr>
        <w:t xml:space="preserve"> and IRS2+ results suggests a proliferative mechanism for enhanced grey matter nuclear atrophy in our cases. However, we see that in the absence of translocases due to molecular hypometabolism, there is an effect of an increase in glucose delivery, floodin</w:t>
      </w:r>
      <w:r>
        <w:rPr>
          <w:rFonts w:ascii="Times New Roman" w:hAnsi="Times New Roman"/>
          <w:color w:val="0E101A"/>
        </w:rPr>
        <w:t>g the cytosol without any transport of breakdown products glycolysis into mitochondria. When converted to lactic acid, this excessive pyruvate will contribute to systemic metabolic acidosis and neuronal injury to grey matter nuclei and cortical grey and fo</w:t>
      </w:r>
      <w:r>
        <w:rPr>
          <w:rFonts w:ascii="Times New Roman" w:hAnsi="Times New Roman"/>
          <w:color w:val="0E101A"/>
        </w:rPr>
        <w:t>menting underlying pulmonary artery hypertension.</w:t>
      </w:r>
      <w:r>
        <w:rPr>
          <w:rFonts w:ascii="Times New Roman" w:hAnsi="Times New Roman"/>
          <w:color w:val="0E101A"/>
        </w:rPr>
        <w:t> </w:t>
      </w:r>
    </w:p>
    <w:p w14:paraId="14CE6634" w14:textId="77777777" w:rsidR="002F1423" w:rsidRDefault="002F1423">
      <w:pPr>
        <w:pStyle w:val="Default"/>
        <w:spacing w:before="0" w:line="480" w:lineRule="auto"/>
        <w:rPr>
          <w:rFonts w:ascii="Times New Roman" w:eastAsia="Times New Roman" w:hAnsi="Times New Roman" w:cs="Times New Roman"/>
          <w:color w:val="0E101A"/>
        </w:rPr>
      </w:pPr>
    </w:p>
    <w:p w14:paraId="4D339A74"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Note that PAH was defined by finding elevated levels of tricuspid regurgitation on baseline echocardiogram with a value for tricuspid regurgitation exceeding 2.5 meters per second and assuming right atria</w:t>
      </w:r>
      <w:r>
        <w:rPr>
          <w:rFonts w:ascii="Times New Roman" w:hAnsi="Times New Roman"/>
          <w:color w:val="0E101A"/>
        </w:rPr>
        <w:t>l pressure was 5mm Hg. As noted previously, the measurement of TR was not a requirement for the performance of GENIE, and not all cases had echocardiogram testing done. Validation will need a larger trial.</w:t>
      </w:r>
      <w:r>
        <w:rPr>
          <w:rFonts w:ascii="Times New Roman" w:hAnsi="Times New Roman"/>
          <w:color w:val="0E101A"/>
        </w:rPr>
        <w:t> </w:t>
      </w:r>
    </w:p>
    <w:p w14:paraId="4FB92B82" w14:textId="77777777" w:rsidR="002F1423" w:rsidRDefault="002F1423">
      <w:pPr>
        <w:pStyle w:val="Default"/>
        <w:spacing w:before="0" w:line="480" w:lineRule="auto"/>
        <w:rPr>
          <w:rFonts w:ascii="Times New Roman" w:eastAsia="Times New Roman" w:hAnsi="Times New Roman" w:cs="Times New Roman"/>
          <w:color w:val="0E101A"/>
        </w:rPr>
      </w:pPr>
    </w:p>
    <w:p w14:paraId="0DC6EC2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Interestingly, measurement of anion gap was not </w:t>
      </w:r>
      <w:r>
        <w:rPr>
          <w:rFonts w:ascii="Times New Roman" w:hAnsi="Times New Roman"/>
          <w:color w:val="0E101A"/>
        </w:rPr>
        <w:t>required for the performance of transcriptomic testing but was frequently submitted with additional clinical materials by physicians.</w:t>
      </w:r>
    </w:p>
    <w:p w14:paraId="235D4F8F" w14:textId="77777777" w:rsidR="002F1423" w:rsidRDefault="002F1423">
      <w:pPr>
        <w:pStyle w:val="Default"/>
        <w:spacing w:before="0" w:line="480" w:lineRule="auto"/>
        <w:rPr>
          <w:rFonts w:ascii="Times New Roman" w:eastAsia="Times New Roman" w:hAnsi="Times New Roman" w:cs="Times New Roman"/>
          <w:color w:val="0E101A"/>
        </w:rPr>
      </w:pPr>
    </w:p>
    <w:p w14:paraId="4DC1E2D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 xml:space="preserve">Only upon reviewing group 4 do we see that the absence of MHM and the presence of IRS2 positivity result in </w:t>
      </w:r>
      <w:r>
        <w:rPr>
          <w:rFonts w:ascii="Times New Roman" w:hAnsi="Times New Roman"/>
          <w:color w:val="0E101A"/>
        </w:rPr>
        <w:t>essentially an ablation of metabolic complications related to the interaction of inflammatory genes, ribosomal genes, and nuclear coded mitochondrial genes and metabolism.</w:t>
      </w:r>
      <w:r>
        <w:rPr>
          <w:rFonts w:ascii="Times New Roman" w:hAnsi="Times New Roman"/>
          <w:color w:val="0E101A"/>
        </w:rPr>
        <w:t> </w:t>
      </w:r>
    </w:p>
    <w:p w14:paraId="22271271" w14:textId="77777777" w:rsidR="002F1423" w:rsidRDefault="002F1423">
      <w:pPr>
        <w:pStyle w:val="Default"/>
        <w:spacing w:before="0" w:line="480" w:lineRule="auto"/>
        <w:rPr>
          <w:rFonts w:ascii="Times New Roman" w:eastAsia="Times New Roman" w:hAnsi="Times New Roman" w:cs="Times New Roman"/>
          <w:color w:val="0E101A"/>
        </w:rPr>
      </w:pPr>
    </w:p>
    <w:p w14:paraId="4FFB3A7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If we do not have excessive glucose inputs due to IRS2 negativity, but MHM is pres</w:t>
      </w:r>
      <w:r>
        <w:rPr>
          <w:rFonts w:ascii="Times New Roman" w:hAnsi="Times New Roman"/>
          <w:color w:val="0E101A"/>
        </w:rPr>
        <w:t>ent, the metabolic complications of metabolic acidosis and pulmonary hypertension are less severe.</w:t>
      </w:r>
      <w:r>
        <w:rPr>
          <w:rFonts w:ascii="Times New Roman" w:hAnsi="Times New Roman"/>
          <w:color w:val="0E101A"/>
        </w:rPr>
        <w:t> </w:t>
      </w:r>
    </w:p>
    <w:p w14:paraId="73FEB0A8" w14:textId="77777777" w:rsidR="002F1423" w:rsidRDefault="002F1423">
      <w:pPr>
        <w:pStyle w:val="Default"/>
        <w:spacing w:before="0" w:line="480" w:lineRule="auto"/>
        <w:rPr>
          <w:rFonts w:ascii="Times New Roman" w:eastAsia="Times New Roman" w:hAnsi="Times New Roman" w:cs="Times New Roman"/>
          <w:color w:val="0E101A"/>
        </w:rPr>
      </w:pPr>
    </w:p>
    <w:p w14:paraId="0CCC1D89" w14:textId="77777777" w:rsidR="002F1423" w:rsidRDefault="00927F0D">
      <w:pPr>
        <w:pStyle w:val="Default"/>
        <w:spacing w:before="0" w:line="480" w:lineRule="auto"/>
        <w:rPr>
          <w:rStyle w:val="None"/>
          <w:rFonts w:ascii="Times New Roman" w:eastAsia="Times New Roman" w:hAnsi="Times New Roman" w:cs="Times New Roman"/>
          <w:color w:val="0E101A"/>
        </w:rPr>
      </w:pPr>
      <w:r>
        <w:rPr>
          <w:rFonts w:ascii="Times New Roman" w:hAnsi="Times New Roman"/>
          <w:b/>
          <w:bCs/>
          <w:color w:val="0E101A"/>
          <w:lang w:val="fr-FR"/>
        </w:rPr>
        <w:t>10. Conclusions</w:t>
      </w:r>
    </w:p>
    <w:p w14:paraId="0D95D808" w14:textId="77777777" w:rsidR="002F1423" w:rsidRDefault="002F1423">
      <w:pPr>
        <w:pStyle w:val="Default"/>
        <w:spacing w:before="0" w:line="480" w:lineRule="auto"/>
        <w:rPr>
          <w:rFonts w:ascii="Times New Roman" w:eastAsia="Times New Roman" w:hAnsi="Times New Roman" w:cs="Times New Roman"/>
          <w:color w:val="0E101A"/>
        </w:rPr>
      </w:pPr>
    </w:p>
    <w:p w14:paraId="488D546B"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The complexity of cellular use of glucose includes diverting metabolites from glycolysis,</w:t>
      </w:r>
      <w:r>
        <w:rPr>
          <w:rFonts w:ascii="Times New Roman" w:hAnsi="Times New Roman"/>
          <w:color w:val="0E101A"/>
        </w:rPr>
        <w:t xml:space="preserve"> interaction with inflammatory </w:t>
      </w:r>
      <w:r>
        <w:rPr>
          <w:rStyle w:val="Hyperlink0"/>
          <w:rFonts w:ascii="Times New Roman" w:hAnsi="Times New Roman"/>
          <w:lang w:val="it-IT"/>
        </w:rPr>
        <w:t>mediators</w:t>
      </w:r>
      <w:r>
        <w:rPr>
          <w:rStyle w:val="Hyperlink0"/>
          <w:rFonts w:ascii="Times New Roman" w:hAnsi="Times New Roman"/>
        </w:rPr>
        <w:t>, aerobic glycolysis,</w:t>
      </w:r>
      <w:r>
        <w:rPr>
          <w:rStyle w:val="None"/>
          <w:rFonts w:ascii="Times New Roman" w:hAnsi="Times New Roman"/>
          <w:color w:val="FF2600"/>
        </w:rPr>
        <w:t xml:space="preserve"> </w:t>
      </w:r>
      <w:r>
        <w:rPr>
          <w:rFonts w:ascii="Times New Roman" w:hAnsi="Times New Roman"/>
          <w:color w:val="0E101A"/>
        </w:rPr>
        <w:t xml:space="preserve">and biosynthetic pathways used to make needed nucleotides, lipids, amino acids, and intermediates. Differential gene activation/suppression influences the metabolic stress response </w:t>
      </w:r>
      <w:r>
        <w:rPr>
          <w:rFonts w:ascii="Times New Roman" w:hAnsi="Times New Roman"/>
          <w:color w:val="0E101A"/>
        </w:rPr>
        <w:t>elements. Both metabolic and inflammatory systems interact to maintain cell viability, energy conservation, and cell proliferation.</w:t>
      </w:r>
      <w:r>
        <w:rPr>
          <w:rFonts w:ascii="Times New Roman" w:hAnsi="Times New Roman"/>
          <w:color w:val="0E101A"/>
        </w:rPr>
        <w:t> </w:t>
      </w:r>
    </w:p>
    <w:p w14:paraId="70EC5879" w14:textId="77777777" w:rsidR="002F1423" w:rsidRDefault="002F1423">
      <w:pPr>
        <w:pStyle w:val="Default"/>
        <w:spacing w:before="0" w:line="480" w:lineRule="auto"/>
        <w:rPr>
          <w:rFonts w:ascii="Times New Roman" w:eastAsia="Times New Roman" w:hAnsi="Times New Roman" w:cs="Times New Roman"/>
          <w:color w:val="0E101A"/>
        </w:rPr>
      </w:pPr>
    </w:p>
    <w:p w14:paraId="360AFE5D"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When systems go awry, for example, when an imbalance of glycosylation genes OGT and OGA persists beyond recovery from stre</w:t>
      </w:r>
      <w:r>
        <w:rPr>
          <w:rFonts w:ascii="Times New Roman" w:hAnsi="Times New Roman"/>
          <w:color w:val="0E101A"/>
        </w:rPr>
        <w:t>ssors such as trauma, ischemia, or infection, an acute response can be converted into a chronic disease, such as insulin resistance.</w:t>
      </w:r>
    </w:p>
    <w:p w14:paraId="5ECCF88B" w14:textId="77777777" w:rsidR="002F1423" w:rsidRDefault="002F1423">
      <w:pPr>
        <w:pStyle w:val="Default"/>
        <w:spacing w:before="0" w:line="480" w:lineRule="auto"/>
        <w:rPr>
          <w:rFonts w:ascii="Times New Roman" w:eastAsia="Times New Roman" w:hAnsi="Times New Roman" w:cs="Times New Roman"/>
          <w:color w:val="0E101A"/>
        </w:rPr>
      </w:pPr>
    </w:p>
    <w:p w14:paraId="7867E6A0"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MHM is such a process. When chronic fatigue, as part of a multisystem, multi-symptom illness, becomes entrenched, possibly</w:t>
      </w:r>
      <w:r>
        <w:rPr>
          <w:rFonts w:ascii="Times New Roman" w:hAnsi="Times New Roman"/>
          <w:color w:val="0E101A"/>
        </w:rPr>
        <w:t xml:space="preserve"> after exposure to ribotoxins, especially those made by actinomycetes, we now know to look for adaptive, survival-based abnormalities in ribosomal genes, translocases, and ATP synthases, among others.</w:t>
      </w:r>
    </w:p>
    <w:p w14:paraId="45078B2D" w14:textId="77777777" w:rsidR="002F1423" w:rsidRDefault="002F1423">
      <w:pPr>
        <w:pStyle w:val="Default"/>
        <w:spacing w:before="0" w:line="480" w:lineRule="auto"/>
        <w:rPr>
          <w:rFonts w:ascii="Times New Roman" w:eastAsia="Times New Roman" w:hAnsi="Times New Roman" w:cs="Times New Roman"/>
          <w:color w:val="0E101A"/>
        </w:rPr>
      </w:pPr>
    </w:p>
    <w:p w14:paraId="4D730B59"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Compared to control data sets, we see a group of patie</w:t>
      </w:r>
      <w:r>
        <w:rPr>
          <w:rFonts w:ascii="Times New Roman" w:hAnsi="Times New Roman"/>
          <w:color w:val="0E101A"/>
        </w:rPr>
        <w:t>nts here with a correlation of MHM+/IRS2 (+) with worsening end-organ injury in untreated Stage 1 CIRS patients. There is a widened anion gap, consistent with metabolic acidosis. There is an increased percentage of cases in this group with atrophic grey ma</w:t>
      </w:r>
      <w:r>
        <w:rPr>
          <w:rFonts w:ascii="Times New Roman" w:hAnsi="Times New Roman"/>
          <w:color w:val="0E101A"/>
        </w:rPr>
        <w:t>tter nuclei or enlarged superior lateral ventricle enlargement, as shown by NeuroQuant</w:t>
      </w:r>
      <w:r>
        <w:rPr>
          <w:rFonts w:ascii="Times New Roman" w:hAnsi="Times New Roman"/>
          <w:color w:val="0E101A"/>
        </w:rPr>
        <w:t>®</w:t>
      </w:r>
      <w:r>
        <w:rPr>
          <w:rFonts w:ascii="Times New Roman" w:hAnsi="Times New Roman"/>
          <w:color w:val="0E101A"/>
        </w:rPr>
        <w:t>. PAH is far more common in this group compared to MHM +/ (-) IRS2; MHM (-) / (-) IRS2; and MHM (-) / IRS2 (+).</w:t>
      </w:r>
      <w:r>
        <w:rPr>
          <w:rFonts w:ascii="Times New Roman" w:hAnsi="Times New Roman"/>
          <w:color w:val="0E101A"/>
        </w:rPr>
        <w:t> </w:t>
      </w:r>
    </w:p>
    <w:p w14:paraId="5187328B" w14:textId="77777777" w:rsidR="002F1423" w:rsidRDefault="002F1423">
      <w:pPr>
        <w:pStyle w:val="Default"/>
        <w:spacing w:before="0" w:line="480" w:lineRule="auto"/>
        <w:rPr>
          <w:rFonts w:ascii="Times New Roman" w:eastAsia="Times New Roman" w:hAnsi="Times New Roman" w:cs="Times New Roman"/>
          <w:color w:val="0E101A"/>
        </w:rPr>
      </w:pPr>
    </w:p>
    <w:p w14:paraId="4AAAD6D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When evaluated by published metabolic literature, these</w:t>
      </w:r>
      <w:r>
        <w:rPr>
          <w:rFonts w:ascii="Times New Roman" w:hAnsi="Times New Roman"/>
          <w:color w:val="0E101A"/>
        </w:rPr>
        <w:t xml:space="preserve"> data are consistent with the adverse effects of proliferative physiology, which has its roots in aerobic glycolysis. In turn, aerobic glycolysis requires compartmentalization of glucose metabolism. A closed VDAC hastens the process. Patients found by tran</w:t>
      </w:r>
      <w:r>
        <w:rPr>
          <w:rFonts w:ascii="Times New Roman" w:hAnsi="Times New Roman"/>
          <w:color w:val="0E101A"/>
        </w:rPr>
        <w:t>scriptomic testing showing MHM +/IRS2 (+) may well benefit from additional testing by NeuroQuant</w:t>
      </w:r>
      <w:r>
        <w:rPr>
          <w:rFonts w:ascii="Times New Roman" w:hAnsi="Times New Roman"/>
          <w:color w:val="0E101A"/>
        </w:rPr>
        <w:t>®</w:t>
      </w:r>
      <w:r>
        <w:rPr>
          <w:rFonts w:ascii="Times New Roman" w:hAnsi="Times New Roman"/>
          <w:color w:val="0E101A"/>
        </w:rPr>
        <w:t>, a comprehensive metabolic panel to determine anion gap, and echocardiogram. If available, flow cytometry for CD4+CD25++ cells and CD4+CD25++CD127 -/lo is rec</w:t>
      </w:r>
      <w:r>
        <w:rPr>
          <w:rFonts w:ascii="Times New Roman" w:hAnsi="Times New Roman"/>
          <w:color w:val="0E101A"/>
        </w:rPr>
        <w:t>ommended.</w:t>
      </w:r>
    </w:p>
    <w:p w14:paraId="1700AF81" w14:textId="77777777" w:rsidR="002F1423" w:rsidRDefault="002F1423">
      <w:pPr>
        <w:pStyle w:val="Default"/>
        <w:spacing w:before="0" w:line="480" w:lineRule="auto"/>
        <w:rPr>
          <w:rFonts w:ascii="Times New Roman" w:eastAsia="Times New Roman" w:hAnsi="Times New Roman" w:cs="Times New Roman"/>
          <w:color w:val="0E101A"/>
        </w:rPr>
      </w:pPr>
    </w:p>
    <w:p w14:paraId="1059A096"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While proliferative physiology, a systemic process, is required for acute host defenses, persistent proliferative states are manifestly not healthy when the host has MHM. The host response once again becomes the enemy. As long as standard CIRS t</w:t>
      </w:r>
      <w:r>
        <w:rPr>
          <w:rFonts w:ascii="Times New Roman" w:hAnsi="Times New Roman"/>
          <w:color w:val="0E101A"/>
        </w:rPr>
        <w:t>reatment protocols are followed carefully and in order, without omissions, salutary benefits, including repair of CNS injury, can reasonably be expected.</w:t>
      </w:r>
    </w:p>
    <w:p w14:paraId="59726139" w14:textId="77777777" w:rsidR="002F1423" w:rsidRDefault="002F1423">
      <w:pPr>
        <w:pStyle w:val="Default"/>
        <w:spacing w:before="0" w:line="480" w:lineRule="auto"/>
        <w:rPr>
          <w:rFonts w:ascii="Times New Roman" w:eastAsia="Times New Roman" w:hAnsi="Times New Roman" w:cs="Times New Roman"/>
          <w:color w:val="0E101A"/>
        </w:rPr>
      </w:pPr>
    </w:p>
    <w:p w14:paraId="1408B388"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Weaknesses of this study include missing data, as not all transcriptomic patients had echocardiograms</w:t>
      </w:r>
      <w:r>
        <w:rPr>
          <w:rFonts w:ascii="Times New Roman" w:hAnsi="Times New Roman"/>
          <w:color w:val="0E101A"/>
        </w:rPr>
        <w:t>, NeuroQuant</w:t>
      </w:r>
      <w:r>
        <w:rPr>
          <w:rFonts w:ascii="Times New Roman" w:hAnsi="Times New Roman"/>
          <w:color w:val="0E101A"/>
        </w:rPr>
        <w:t>®</w:t>
      </w:r>
      <w:r>
        <w:rPr>
          <w:rFonts w:ascii="Times New Roman" w:hAnsi="Times New Roman"/>
          <w:color w:val="0E101A"/>
        </w:rPr>
        <w:t xml:space="preserve">, and CMP performed. As such, a prospective study will be necessary. Further, the absence of T reg assays leaves a hole in analysis, as the proliferative model would predict marked T reg deficiency in Group 1, with steadily increasing numbers </w:t>
      </w:r>
      <w:r>
        <w:rPr>
          <w:rFonts w:ascii="Times New Roman" w:hAnsi="Times New Roman"/>
          <w:color w:val="0E101A"/>
        </w:rPr>
        <w:t>through Group 4.</w:t>
      </w:r>
    </w:p>
    <w:p w14:paraId="2CDC2A7F" w14:textId="77777777" w:rsidR="002F1423" w:rsidRDefault="002F1423">
      <w:pPr>
        <w:pStyle w:val="Default"/>
        <w:spacing w:before="0" w:line="480" w:lineRule="auto"/>
        <w:rPr>
          <w:rFonts w:ascii="Times New Roman" w:eastAsia="Times New Roman" w:hAnsi="Times New Roman" w:cs="Times New Roman"/>
          <w:color w:val="0E101A"/>
        </w:rPr>
      </w:pPr>
    </w:p>
    <w:p w14:paraId="1557058F" w14:textId="77777777" w:rsidR="002F1423" w:rsidRDefault="00927F0D">
      <w:pPr>
        <w:pStyle w:val="Default"/>
        <w:spacing w:before="0" w:line="480" w:lineRule="auto"/>
        <w:rPr>
          <w:rFonts w:ascii="Times New Roman" w:eastAsia="Times New Roman" w:hAnsi="Times New Roman" w:cs="Times New Roman"/>
          <w:b/>
          <w:bCs/>
          <w:color w:val="FF2600"/>
        </w:rPr>
      </w:pPr>
      <w:r>
        <w:rPr>
          <w:rFonts w:ascii="Times New Roman" w:hAnsi="Times New Roman"/>
          <w:b/>
          <w:bCs/>
          <w:color w:val="FF2600"/>
        </w:rPr>
        <w:t>Insert Table 1</w:t>
      </w:r>
    </w:p>
    <w:tbl>
      <w:tblPr>
        <w:tblW w:w="93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8"/>
        <w:gridCol w:w="1558"/>
        <w:gridCol w:w="1559"/>
        <w:gridCol w:w="1559"/>
        <w:gridCol w:w="1559"/>
        <w:gridCol w:w="1559"/>
      </w:tblGrid>
      <w:tr w:rsidR="002F1423" w14:paraId="689A7206" w14:textId="77777777">
        <w:trPr>
          <w:trHeight w:val="295"/>
        </w:trPr>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7CF400" w14:textId="77777777" w:rsidR="002F1423" w:rsidRDefault="002F1423"/>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A96E8E" w14:textId="77777777" w:rsidR="002F1423" w:rsidRDefault="00927F0D">
            <w:pPr>
              <w:pStyle w:val="TableStyle2"/>
            </w:pPr>
            <w:r>
              <w:rPr>
                <w:rFonts w:eastAsia="Arial Unicode MS" w:cs="Arial Unicode MS"/>
              </w:rPr>
              <w:t>MHM+IRS2+</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030D28" w14:textId="77777777" w:rsidR="002F1423" w:rsidRDefault="00927F0D">
            <w:pPr>
              <w:pStyle w:val="TableStyle2"/>
            </w:pPr>
            <w:r>
              <w:rPr>
                <w:rFonts w:eastAsia="Arial Unicode MS" w:cs="Arial Unicode MS"/>
              </w:rPr>
              <w:t>MHM+IRS2-</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CB3FE" w14:textId="77777777" w:rsidR="002F1423" w:rsidRDefault="00927F0D">
            <w:pPr>
              <w:pStyle w:val="TableStyle2"/>
            </w:pPr>
            <w:r>
              <w:rPr>
                <w:rFonts w:eastAsia="Arial Unicode MS" w:cs="Arial Unicode MS"/>
              </w:rPr>
              <w:t>MHM-IRS2-</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31BF83" w14:textId="77777777" w:rsidR="002F1423" w:rsidRDefault="00927F0D">
            <w:pPr>
              <w:pStyle w:val="TableStyle2"/>
            </w:pPr>
            <w:r>
              <w:rPr>
                <w:rFonts w:eastAsia="Arial Unicode MS" w:cs="Arial Unicode MS"/>
              </w:rPr>
              <w:t>MHM-IRS2+</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8CCCD2" w14:textId="77777777" w:rsidR="002F1423" w:rsidRDefault="00927F0D">
            <w:pPr>
              <w:pStyle w:val="TableStyle2"/>
            </w:pPr>
            <w:r>
              <w:rPr>
                <w:rFonts w:eastAsia="Arial Unicode MS" w:cs="Arial Unicode MS"/>
              </w:rPr>
              <w:t>Controls</w:t>
            </w:r>
          </w:p>
        </w:tc>
      </w:tr>
      <w:tr w:rsidR="002F1423" w14:paraId="2F4C44DB" w14:textId="77777777">
        <w:trPr>
          <w:trHeight w:val="295"/>
        </w:trPr>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1532F0" w14:textId="77777777" w:rsidR="002F1423" w:rsidRDefault="00927F0D">
            <w:pPr>
              <w:pStyle w:val="TableStyle2"/>
            </w:pPr>
            <w:r>
              <w:rPr>
                <w:rFonts w:eastAsia="Arial Unicode MS" w:cs="Arial Unicode MS"/>
              </w:rPr>
              <w:t>N=</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4FE41A"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62</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EE74CB"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26</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E033DD3"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16</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67BCB2"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8</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FBEA1A6"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15</w:t>
            </w:r>
          </w:p>
        </w:tc>
      </w:tr>
      <w:tr w:rsidR="002F1423" w14:paraId="6B360B92" w14:textId="77777777">
        <w:trPr>
          <w:trHeight w:val="295"/>
        </w:trPr>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FA6073" w14:textId="77777777" w:rsidR="002F1423" w:rsidRDefault="00927F0D">
            <w:pPr>
              <w:pStyle w:val="TableStyle2"/>
            </w:pPr>
            <w:r>
              <w:rPr>
                <w:rFonts w:eastAsia="Arial Unicode MS" w:cs="Arial Unicode MS"/>
              </w:rPr>
              <w:t>A Nuclei/6</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52DBEA"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4.1</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CB8C6E"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3.0</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D72B82"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2.8</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ACE202"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1.2</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674104"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1.4</w:t>
            </w:r>
          </w:p>
        </w:tc>
      </w:tr>
      <w:tr w:rsidR="002F1423" w14:paraId="4C715D4F" w14:textId="77777777">
        <w:trPr>
          <w:trHeight w:val="295"/>
        </w:trPr>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66C712" w14:textId="77777777" w:rsidR="002F1423" w:rsidRDefault="00927F0D">
            <w:pPr>
              <w:pStyle w:val="TableStyle2"/>
            </w:pPr>
            <w:r>
              <w:rPr>
                <w:rFonts w:eastAsia="Arial Unicode MS" w:cs="Arial Unicode MS"/>
              </w:rPr>
              <w:t>SLV increase</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EFA7B9"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16.1</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024829"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7.6</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973292"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6.1</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7BF78A"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0</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D41D36"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0</w:t>
            </w:r>
          </w:p>
        </w:tc>
      </w:tr>
      <w:tr w:rsidR="002F1423" w14:paraId="0CB790EB" w14:textId="77777777">
        <w:trPr>
          <w:trHeight w:val="295"/>
        </w:trPr>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157E7C" w14:textId="77777777" w:rsidR="002F1423" w:rsidRDefault="00927F0D">
            <w:pPr>
              <w:pStyle w:val="TableStyle2"/>
            </w:pPr>
            <w:r>
              <w:rPr>
                <w:rFonts w:eastAsia="Arial Unicode MS" w:cs="Arial Unicode MS"/>
              </w:rPr>
              <w:t>Mean IRS2</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A22C45"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1.78</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892902"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-0.97</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F718AE"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-1.67</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7A94B7"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1.14</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A81197"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1.33</w:t>
            </w:r>
          </w:p>
        </w:tc>
      </w:tr>
      <w:tr w:rsidR="002F1423" w14:paraId="50C45BC1" w14:textId="77777777">
        <w:trPr>
          <w:trHeight w:val="295"/>
        </w:trPr>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93F50A6" w14:textId="77777777" w:rsidR="002F1423" w:rsidRDefault="00927F0D">
            <w:pPr>
              <w:pStyle w:val="TableStyle2"/>
            </w:pPr>
            <w:r>
              <w:rPr>
                <w:rFonts w:eastAsia="Arial Unicode MS" w:cs="Arial Unicode MS"/>
              </w:rPr>
              <w:t>Anion gap&gt; 12</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05E2E0"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85</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DD5483"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20</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FFF4B8" w14:textId="77777777" w:rsidR="002F1423" w:rsidRDefault="00927F0D">
            <w:pPr>
              <w:pStyle w:val="TableStyle2"/>
            </w:pPr>
            <w:r>
              <w:rPr>
                <w:rFonts w:eastAsia="Arial Unicode MS" w:cs="Arial Unicode MS"/>
              </w:rPr>
              <w:t xml:space="preserve">    </w:t>
            </w:r>
            <w:r>
              <w:rPr>
                <w:rFonts w:eastAsia="Arial Unicode MS" w:cs="Arial Unicode MS"/>
              </w:rPr>
              <w:t xml:space="preserve">               33*</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5BE321"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0</w:t>
            </w:r>
          </w:p>
        </w:tc>
        <w:tc>
          <w:tcPr>
            <w:tcW w:w="15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42529E0"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1</w:t>
            </w:r>
          </w:p>
        </w:tc>
      </w:tr>
      <w:tr w:rsidR="002F1423" w14:paraId="1F1AD16F" w14:textId="77777777">
        <w:trPr>
          <w:trHeight w:val="295"/>
        </w:trPr>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00CBD0" w14:textId="77777777" w:rsidR="002F1423" w:rsidRDefault="00927F0D">
            <w:pPr>
              <w:pStyle w:val="TableStyle2"/>
            </w:pPr>
            <w:r>
              <w:rPr>
                <w:rFonts w:eastAsia="Arial Unicode MS" w:cs="Arial Unicode MS"/>
              </w:rPr>
              <w:t>Pasp increase</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97B616"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80</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316DCA"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8</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4DCBB4" w14:textId="77777777" w:rsidR="002F1423" w:rsidRDefault="00927F0D">
            <w:pPr>
              <w:pStyle w:val="TableStyle2"/>
            </w:pPr>
            <w:r>
              <w:rPr>
                <w:rFonts w:eastAsia="Arial Unicode MS" w:cs="Arial Unicode MS"/>
              </w:rPr>
              <w:t xml:space="preserve">     </w:t>
            </w:r>
            <w:r>
              <w:rPr>
                <w:rFonts w:eastAsia="Arial Unicode MS" w:cs="Arial Unicode MS"/>
              </w:rPr>
              <w:t xml:space="preserve">                0*</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8C92C1"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0</w:t>
            </w:r>
          </w:p>
        </w:tc>
        <w:tc>
          <w:tcPr>
            <w:tcW w:w="15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E6D233" w14:textId="77777777" w:rsidR="002F1423" w:rsidRDefault="00927F0D">
            <w:pPr>
              <w:jc w:val="right"/>
            </w:pPr>
            <w:r>
              <w:rPr>
                <w:rFonts w:ascii="Helvetica Neue" w:hAnsi="Helvetica Neue" w:cs="Arial Unicode MS"/>
                <w:color w:val="000000"/>
                <w:sz w:val="20"/>
                <w:szCs w:val="20"/>
                <w14:textOutline w14:w="0" w14:cap="flat" w14:cmpd="sng" w14:algn="ctr">
                  <w14:noFill/>
                  <w14:prstDash w14:val="solid"/>
                  <w14:bevel/>
                </w14:textOutline>
              </w:rPr>
              <w:t>0</w:t>
            </w:r>
          </w:p>
        </w:tc>
      </w:tr>
    </w:tbl>
    <w:p w14:paraId="62E1602C" w14:textId="77777777" w:rsidR="002F1423" w:rsidRDefault="002F1423">
      <w:pPr>
        <w:pStyle w:val="Body"/>
        <w:rPr>
          <w:rFonts w:ascii="Times New Roman" w:eastAsia="Times New Roman" w:hAnsi="Times New Roman" w:cs="Times New Roman"/>
          <w:sz w:val="24"/>
          <w:szCs w:val="24"/>
        </w:rPr>
      </w:pPr>
    </w:p>
    <w:p w14:paraId="7B335172" w14:textId="77777777" w:rsidR="002F1423" w:rsidRDefault="002F1423">
      <w:pPr>
        <w:pStyle w:val="Body"/>
        <w:rPr>
          <w:rFonts w:ascii="Times New Roman" w:eastAsia="Times New Roman" w:hAnsi="Times New Roman" w:cs="Times New Roman"/>
          <w:sz w:val="24"/>
          <w:szCs w:val="24"/>
        </w:rPr>
      </w:pPr>
    </w:p>
    <w:p w14:paraId="7AC87DF8" w14:textId="77777777" w:rsidR="002F1423" w:rsidRDefault="00927F0D">
      <w:pPr>
        <w:pStyle w:val="Body"/>
        <w:rPr>
          <w:rFonts w:ascii="Times New Roman" w:eastAsia="Times New Roman" w:hAnsi="Times New Roman" w:cs="Times New Roman"/>
          <w:sz w:val="24"/>
          <w:szCs w:val="24"/>
        </w:rPr>
      </w:pPr>
      <w:r>
        <w:rPr>
          <w:rFonts w:ascii="Times New Roman" w:hAnsi="Times New Roman"/>
          <w:sz w:val="24"/>
          <w:szCs w:val="24"/>
        </w:rPr>
        <w:t>Table Stage 1 of Treatment</w:t>
      </w:r>
    </w:p>
    <w:p w14:paraId="78958129" w14:textId="77777777" w:rsidR="002F1423" w:rsidRDefault="00927F0D">
      <w:pPr>
        <w:pStyle w:val="Body"/>
        <w:rPr>
          <w:rFonts w:ascii="Times New Roman" w:eastAsia="Times New Roman" w:hAnsi="Times New Roman" w:cs="Times New Roman"/>
          <w:sz w:val="24"/>
          <w:szCs w:val="24"/>
        </w:rPr>
      </w:pPr>
      <w:r>
        <w:rPr>
          <w:rFonts w:ascii="Times New Roman" w:hAnsi="Times New Roman"/>
          <w:sz w:val="24"/>
          <w:szCs w:val="24"/>
        </w:rPr>
        <w:t>*N&lt;4</w:t>
      </w:r>
    </w:p>
    <w:p w14:paraId="1A88FBA8" w14:textId="77777777" w:rsidR="002F1423" w:rsidRDefault="002F1423">
      <w:pPr>
        <w:pStyle w:val="Default"/>
        <w:spacing w:before="0" w:line="480" w:lineRule="auto"/>
        <w:rPr>
          <w:rFonts w:ascii="Times New Roman" w:eastAsia="Times New Roman" w:hAnsi="Times New Roman" w:cs="Times New Roman"/>
          <w:color w:val="0E101A"/>
        </w:rPr>
      </w:pPr>
    </w:p>
    <w:p w14:paraId="142B15F4" w14:textId="77777777" w:rsidR="002F1423" w:rsidRDefault="002F1423">
      <w:pPr>
        <w:pStyle w:val="Default"/>
        <w:spacing w:before="0" w:line="480" w:lineRule="auto"/>
        <w:rPr>
          <w:rFonts w:ascii="Times New Roman" w:eastAsia="Times New Roman" w:hAnsi="Times New Roman" w:cs="Times New Roman"/>
          <w:color w:val="0E101A"/>
        </w:rPr>
      </w:pPr>
    </w:p>
    <w:p w14:paraId="53F5F4C7" w14:textId="77777777" w:rsidR="002F1423" w:rsidRDefault="00927F0D">
      <w:pPr>
        <w:pStyle w:val="Default"/>
        <w:spacing w:before="0" w:line="480" w:lineRule="auto"/>
        <w:rPr>
          <w:rFonts w:ascii="Times New Roman" w:eastAsia="Times New Roman" w:hAnsi="Times New Roman" w:cs="Times New Roman"/>
          <w:color w:val="0E101A"/>
        </w:rPr>
      </w:pPr>
      <w:r>
        <w:rPr>
          <w:rStyle w:val="None"/>
          <w:rFonts w:ascii="Times New Roman" w:hAnsi="Times New Roman"/>
          <w:b/>
          <w:bCs/>
          <w:color w:val="0E101A"/>
        </w:rPr>
        <w:t>Potential conflict of interest:</w:t>
      </w:r>
      <w:r>
        <w:rPr>
          <w:rFonts w:ascii="Times New Roman" w:hAnsi="Times New Roman"/>
          <w:color w:val="0E101A"/>
        </w:rPr>
        <w:t> </w:t>
      </w:r>
      <w:r>
        <w:rPr>
          <w:rFonts w:ascii="Times New Roman" w:hAnsi="Times New Roman"/>
          <w:color w:val="0E101A"/>
        </w:rPr>
        <w:t>Dr. Shoemaker holds an interest in ProgeneDx, a company that sells GENIE tests.</w:t>
      </w:r>
    </w:p>
    <w:p w14:paraId="1DBC468B" w14:textId="77777777" w:rsidR="002F1423" w:rsidRDefault="002F1423">
      <w:pPr>
        <w:pStyle w:val="Default"/>
        <w:spacing w:before="0" w:line="480" w:lineRule="auto"/>
        <w:rPr>
          <w:rFonts w:ascii="Times New Roman" w:eastAsia="Times New Roman" w:hAnsi="Times New Roman" w:cs="Times New Roman"/>
          <w:color w:val="0E101A"/>
        </w:rPr>
      </w:pPr>
    </w:p>
    <w:p w14:paraId="5AEB0A93" w14:textId="77777777" w:rsidR="002F1423" w:rsidRDefault="00927F0D">
      <w:pPr>
        <w:pStyle w:val="Default"/>
        <w:spacing w:before="0" w:line="480" w:lineRule="auto"/>
        <w:rPr>
          <w:rFonts w:ascii="Times New Roman" w:eastAsia="Times New Roman" w:hAnsi="Times New Roman" w:cs="Times New Roman"/>
          <w:color w:val="0E101A"/>
        </w:rPr>
      </w:pPr>
      <w:r>
        <w:rPr>
          <w:rFonts w:ascii="Times New Roman" w:hAnsi="Times New Roman"/>
          <w:color w:val="0E101A"/>
        </w:rPr>
        <w:t>11. Bibliography</w:t>
      </w:r>
    </w:p>
    <w:p w14:paraId="06019F91" w14:textId="77777777" w:rsidR="002F1423" w:rsidRDefault="002F1423">
      <w:pPr>
        <w:pStyle w:val="Default"/>
        <w:spacing w:before="0" w:line="480" w:lineRule="auto"/>
        <w:rPr>
          <w:rFonts w:ascii="Times New Roman" w:eastAsia="Times New Roman" w:hAnsi="Times New Roman" w:cs="Times New Roman"/>
          <w:color w:val="0E101A"/>
        </w:rPr>
      </w:pPr>
    </w:p>
    <w:p w14:paraId="07534250" w14:textId="77777777" w:rsidR="002F1423" w:rsidRDefault="00927F0D">
      <w:pPr>
        <w:pStyle w:val="Default"/>
        <w:numPr>
          <w:ilvl w:val="0"/>
          <w:numId w:val="16"/>
        </w:numPr>
        <w:spacing w:before="0" w:line="240" w:lineRule="auto"/>
        <w:rPr>
          <w:rFonts w:ascii="Times New Roman" w:hAnsi="Times New Roman"/>
          <w:color w:val="0E101A"/>
        </w:rPr>
      </w:pPr>
      <w:r>
        <w:rPr>
          <w:rFonts w:ascii="Times New Roman" w:hAnsi="Times New Roman"/>
          <w:color w:val="0E101A"/>
        </w:rPr>
        <w:t xml:space="preserve">Lunt, Sophia Y., and Matthew G. Vander Heiden. </w:t>
      </w:r>
      <w:r>
        <w:rPr>
          <w:rFonts w:ascii="Times New Roman" w:hAnsi="Times New Roman"/>
          <w:color w:val="0E101A"/>
          <w:rtl/>
          <w:lang w:val="ar-SA"/>
        </w:rPr>
        <w:t>“</w:t>
      </w:r>
      <w:r>
        <w:rPr>
          <w:rFonts w:ascii="Times New Roman" w:hAnsi="Times New Roman"/>
          <w:color w:val="0E101A"/>
        </w:rPr>
        <w:t>Aerobic Glycolysis: Meeting the Metabolic Requirements of Cell Proliferation.</w:t>
      </w:r>
      <w:r>
        <w:rPr>
          <w:rFonts w:ascii="Times New Roman" w:hAnsi="Times New Roman"/>
          <w:color w:val="0E101A"/>
        </w:rPr>
        <w:t xml:space="preserve">” </w:t>
      </w:r>
      <w:r>
        <w:rPr>
          <w:rStyle w:val="None"/>
          <w:rFonts w:ascii="Times New Roman" w:hAnsi="Times New Roman"/>
          <w:i/>
          <w:iCs/>
          <w:color w:val="0E101A"/>
        </w:rPr>
        <w:t>Annual Review of Cell and Developmental Biology</w:t>
      </w:r>
      <w:r>
        <w:rPr>
          <w:rFonts w:ascii="Times New Roman" w:hAnsi="Times New Roman"/>
          <w:color w:val="0E101A"/>
        </w:rPr>
        <w:t xml:space="preserve"> 27, no. 1 (2011): 441</w:t>
      </w:r>
      <w:r>
        <w:rPr>
          <w:rFonts w:ascii="Times New Roman" w:hAnsi="Times New Roman"/>
          <w:color w:val="0E101A"/>
        </w:rPr>
        <w:t>–</w:t>
      </w:r>
      <w:r>
        <w:rPr>
          <w:rFonts w:ascii="Times New Roman" w:hAnsi="Times New Roman"/>
          <w:color w:val="0E101A"/>
        </w:rPr>
        <w:t xml:space="preserve">64. </w:t>
      </w:r>
      <w:r>
        <w:rPr>
          <w:rFonts w:ascii="Times New Roman" w:hAnsi="Times New Roman"/>
          <w:color w:val="0E101A"/>
        </w:rPr>
        <w:t>https://doi.org/10.1146/annurev-cellbio-092910-154237.</w:t>
      </w:r>
    </w:p>
    <w:p w14:paraId="2023B93A" w14:textId="77777777" w:rsidR="002F1423" w:rsidRDefault="00927F0D">
      <w:pPr>
        <w:pStyle w:val="Default"/>
        <w:numPr>
          <w:ilvl w:val="0"/>
          <w:numId w:val="2"/>
        </w:numPr>
        <w:spacing w:before="0" w:line="240" w:lineRule="auto"/>
        <w:rPr>
          <w:rFonts w:ascii="Times New Roman" w:hAnsi="Times New Roman"/>
          <w:color w:val="0E101A"/>
          <w:lang w:val="nl-NL"/>
        </w:rPr>
      </w:pPr>
      <w:r>
        <w:rPr>
          <w:rFonts w:ascii="Times New Roman" w:hAnsi="Times New Roman"/>
          <w:color w:val="0E101A"/>
          <w:lang w:val="nl-NL"/>
        </w:rPr>
        <w:t xml:space="preserve">Shoemaker, Ryan. </w:t>
      </w:r>
      <w:r>
        <w:rPr>
          <w:rFonts w:ascii="Times New Roman" w:hAnsi="Times New Roman"/>
          <w:color w:val="0E101A"/>
          <w:rtl/>
          <w:lang w:val="ar-SA"/>
        </w:rPr>
        <w:t>“</w:t>
      </w:r>
      <w:r>
        <w:rPr>
          <w:rFonts w:ascii="Times New Roman" w:hAnsi="Times New Roman"/>
          <w:color w:val="0E101A"/>
        </w:rPr>
        <w:t>RNA-Seq on Patients with Chronic Inflammatory Response Syndrome (CIRS) Treated with Vasoactive Intestinal Peptide (VIP) Shows a Shift in Metabolic State and Innate Immune Functions Th</w:t>
      </w:r>
      <w:r>
        <w:rPr>
          <w:rFonts w:ascii="Times New Roman" w:hAnsi="Times New Roman"/>
          <w:color w:val="0E101A"/>
        </w:rPr>
        <w:t>at Coincide with Healing.</w:t>
      </w:r>
      <w:r>
        <w:rPr>
          <w:rFonts w:ascii="Times New Roman" w:hAnsi="Times New Roman"/>
          <w:color w:val="0E101A"/>
        </w:rPr>
        <w:t xml:space="preserve">” </w:t>
      </w:r>
      <w:r>
        <w:rPr>
          <w:rStyle w:val="None"/>
          <w:rFonts w:ascii="Times New Roman" w:hAnsi="Times New Roman"/>
          <w:i/>
          <w:iCs/>
          <w:color w:val="0E101A"/>
        </w:rPr>
        <w:t>Medical Research Archives</w:t>
      </w:r>
      <w:r>
        <w:rPr>
          <w:rFonts w:ascii="Times New Roman" w:hAnsi="Times New Roman"/>
          <w:color w:val="0E101A"/>
          <w:lang w:val="pt-PT"/>
        </w:rPr>
        <w:t xml:space="preserve"> 4, no. 7 (2016). https://doi.org/10.18103/mra.v4i7.862.</w:t>
      </w:r>
    </w:p>
    <w:p w14:paraId="1585A876"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Ryan, James C, Qingzhong Wu, and Ritchie C Shoemaker. </w:t>
      </w:r>
      <w:r>
        <w:rPr>
          <w:rFonts w:ascii="Times New Roman" w:hAnsi="Times New Roman"/>
          <w:color w:val="0E101A"/>
          <w:rtl/>
          <w:lang w:val="ar-SA"/>
        </w:rPr>
        <w:t>“</w:t>
      </w:r>
      <w:r>
        <w:rPr>
          <w:rFonts w:ascii="Times New Roman" w:hAnsi="Times New Roman"/>
          <w:color w:val="0E101A"/>
        </w:rPr>
        <w:t xml:space="preserve">Transcriptomic Signatures in Whole Blood of Patients Who Acquire a Chronic </w:t>
      </w:r>
      <w:r>
        <w:rPr>
          <w:rFonts w:ascii="Times New Roman" w:hAnsi="Times New Roman"/>
          <w:color w:val="0E101A"/>
        </w:rPr>
        <w:t>Inflammatory Response Syndrome (CIRS) Following an Exposure to the Marine Toxin Ciguatoxin.</w:t>
      </w:r>
      <w:r>
        <w:rPr>
          <w:rFonts w:ascii="Times New Roman" w:hAnsi="Times New Roman"/>
          <w:color w:val="0E101A"/>
        </w:rPr>
        <w:t xml:space="preserve">” </w:t>
      </w:r>
      <w:r>
        <w:rPr>
          <w:rStyle w:val="None"/>
          <w:rFonts w:ascii="Times New Roman" w:hAnsi="Times New Roman"/>
          <w:i/>
          <w:iCs/>
          <w:color w:val="0E101A"/>
          <w:lang w:val="it-IT"/>
        </w:rPr>
        <w:t>BMC Medical Genomics</w:t>
      </w:r>
      <w:r>
        <w:rPr>
          <w:rFonts w:ascii="Times New Roman" w:hAnsi="Times New Roman"/>
          <w:color w:val="0E101A"/>
          <w:lang w:val="pt-PT"/>
        </w:rPr>
        <w:t xml:space="preserve"> 8, no. 1 (2015). https://doi.org/10.1186/s12920-015-0089-x.</w:t>
      </w:r>
    </w:p>
    <w:p w14:paraId="439C67CC"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Shoemaker, Ritchie C., Dennis House, and James C. Ryan. </w:t>
      </w:r>
      <w:r>
        <w:rPr>
          <w:rFonts w:ascii="Times New Roman" w:hAnsi="Times New Roman"/>
          <w:color w:val="0E101A"/>
          <w:rtl/>
          <w:lang w:val="ar-SA"/>
        </w:rPr>
        <w:t>“</w:t>
      </w:r>
      <w:r>
        <w:rPr>
          <w:rFonts w:ascii="Times New Roman" w:hAnsi="Times New Roman"/>
          <w:color w:val="0E101A"/>
        </w:rPr>
        <w:t>Vasoactive Intestinal Polypeptide (VIP) Corrects Chronic Inflammatory Response Syndrome (CIRS) Acquired Following Exposure to Water-Damaged Buildings.</w:t>
      </w:r>
      <w:r>
        <w:rPr>
          <w:rFonts w:ascii="Times New Roman" w:hAnsi="Times New Roman"/>
          <w:color w:val="0E101A"/>
        </w:rPr>
        <w:t xml:space="preserve">” </w:t>
      </w:r>
      <w:r>
        <w:rPr>
          <w:rStyle w:val="None"/>
          <w:rFonts w:ascii="Times New Roman" w:hAnsi="Times New Roman"/>
          <w:i/>
          <w:iCs/>
          <w:color w:val="0E101A"/>
        </w:rPr>
        <w:t>Health</w:t>
      </w:r>
      <w:r>
        <w:rPr>
          <w:rFonts w:ascii="Times New Roman" w:hAnsi="Times New Roman"/>
          <w:color w:val="0E101A"/>
        </w:rPr>
        <w:t xml:space="preserve"> 05, no. 03 (2013): 396</w:t>
      </w:r>
      <w:r>
        <w:rPr>
          <w:rFonts w:ascii="Times New Roman" w:hAnsi="Times New Roman"/>
          <w:color w:val="0E101A"/>
        </w:rPr>
        <w:t>–</w:t>
      </w:r>
      <w:r>
        <w:rPr>
          <w:rFonts w:ascii="Times New Roman" w:hAnsi="Times New Roman"/>
          <w:color w:val="0E101A"/>
        </w:rPr>
        <w:t xml:space="preserve">401. https://doi.org/10.4236/health.2013.53053. </w:t>
      </w:r>
    </w:p>
    <w:p w14:paraId="6246C809"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Fukuda, Keiji, Stephen E. Strauss, Ian Hickie, Michael C. Sharpe, James G. Dobbins, and Anthony Komaroff. </w:t>
      </w:r>
      <w:r>
        <w:rPr>
          <w:rFonts w:ascii="Times New Roman" w:hAnsi="Times New Roman"/>
          <w:color w:val="0E101A"/>
          <w:rtl/>
          <w:lang w:val="ar-SA"/>
        </w:rPr>
        <w:t>“</w:t>
      </w:r>
      <w:r>
        <w:rPr>
          <w:rFonts w:ascii="Times New Roman" w:hAnsi="Times New Roman"/>
          <w:color w:val="0E101A"/>
          <w:lang w:val="fr-FR"/>
        </w:rPr>
        <w:t>The Chronic Fatigue Syndrome.</w:t>
      </w:r>
      <w:r>
        <w:rPr>
          <w:rFonts w:ascii="Times New Roman" w:hAnsi="Times New Roman"/>
          <w:color w:val="0E101A"/>
        </w:rPr>
        <w:t xml:space="preserve">” </w:t>
      </w:r>
      <w:r>
        <w:rPr>
          <w:rStyle w:val="None"/>
          <w:rFonts w:ascii="Times New Roman" w:hAnsi="Times New Roman"/>
          <w:i/>
          <w:iCs/>
          <w:color w:val="0E101A"/>
        </w:rPr>
        <w:t>Journal of Chronic Fatigue Syndrome</w:t>
      </w:r>
      <w:r>
        <w:rPr>
          <w:rFonts w:ascii="Times New Roman" w:hAnsi="Times New Roman"/>
          <w:color w:val="0E101A"/>
        </w:rPr>
        <w:t xml:space="preserve"> 1, no. 2 (1995): 67</w:t>
      </w:r>
      <w:r>
        <w:rPr>
          <w:rFonts w:ascii="Times New Roman" w:hAnsi="Times New Roman"/>
          <w:color w:val="0E101A"/>
        </w:rPr>
        <w:t>–</w:t>
      </w:r>
      <w:r>
        <w:rPr>
          <w:rFonts w:ascii="Times New Roman" w:hAnsi="Times New Roman"/>
          <w:color w:val="0E101A"/>
        </w:rPr>
        <w:t>84. https://doi.org/10.1300/j092v01n02_06.</w:t>
      </w:r>
    </w:p>
    <w:p w14:paraId="5074F3AF"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Jason, Leonard A., Madison Sunnquist, Abigail Brown, Julia L. Newton, Elin Bolle Strand, and Suzanne D. Vernon. </w:t>
      </w:r>
      <w:r>
        <w:rPr>
          <w:rFonts w:ascii="Times New Roman" w:hAnsi="Times New Roman"/>
          <w:color w:val="0E101A"/>
          <w:rtl/>
          <w:lang w:val="ar-SA"/>
        </w:rPr>
        <w:t>“</w:t>
      </w:r>
      <w:r>
        <w:rPr>
          <w:rFonts w:ascii="Times New Roman" w:hAnsi="Times New Roman"/>
          <w:color w:val="0E101A"/>
        </w:rPr>
        <w:t>Chronic Fatigue Syndrome versus Systemic Exertion Intolerance Disease.</w:t>
      </w:r>
      <w:r>
        <w:rPr>
          <w:rFonts w:ascii="Times New Roman" w:hAnsi="Times New Roman"/>
          <w:color w:val="0E101A"/>
        </w:rPr>
        <w:t xml:space="preserve">” </w:t>
      </w:r>
      <w:r>
        <w:rPr>
          <w:rStyle w:val="None"/>
          <w:rFonts w:ascii="Times New Roman" w:hAnsi="Times New Roman"/>
          <w:i/>
          <w:iCs/>
          <w:color w:val="0E101A"/>
        </w:rPr>
        <w:t>Fatigue: Biomedicine, Health &amp; Behavior</w:t>
      </w:r>
      <w:r>
        <w:rPr>
          <w:rFonts w:ascii="Times New Roman" w:hAnsi="Times New Roman"/>
          <w:color w:val="0E101A"/>
        </w:rPr>
        <w:t xml:space="preserve"> 3, no. 3 (2015): 127</w:t>
      </w:r>
      <w:r>
        <w:rPr>
          <w:rFonts w:ascii="Times New Roman" w:hAnsi="Times New Roman"/>
          <w:color w:val="0E101A"/>
        </w:rPr>
        <w:t>–</w:t>
      </w:r>
      <w:r>
        <w:rPr>
          <w:rFonts w:ascii="Times New Roman" w:hAnsi="Times New Roman"/>
          <w:color w:val="0E101A"/>
        </w:rPr>
        <w:t xml:space="preserve">41. https://doi.org/10.1080/21641846.2015.1051291. </w:t>
      </w:r>
    </w:p>
    <w:p w14:paraId="31B5686D"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Shoemaker, R., S. McMahon, and M. Dooley</w:t>
      </w:r>
      <w:r>
        <w:rPr>
          <w:rFonts w:ascii="Times New Roman" w:hAnsi="Times New Roman"/>
          <w:color w:val="0E101A"/>
        </w:rPr>
        <w:t xml:space="preserve">. </w:t>
      </w:r>
      <w:r>
        <w:rPr>
          <w:rFonts w:ascii="Times New Roman" w:hAnsi="Times New Roman"/>
          <w:color w:val="0E101A"/>
          <w:lang w:val="de-DE"/>
        </w:rPr>
        <w:t xml:space="preserve">“ </w:t>
      </w:r>
      <w:r>
        <w:rPr>
          <w:rFonts w:ascii="Times New Roman" w:hAnsi="Times New Roman"/>
          <w:color w:val="0E101A"/>
        </w:rPr>
        <w:t xml:space="preserve">Diagnostic Process for CIRS: A Consensus Statement Report of the Consensus Committee of </w:t>
      </w:r>
      <w:r>
        <w:rPr>
          <w:rFonts w:ascii="Times New Roman" w:hAnsi="Times New Roman"/>
          <w:color w:val="0E101A"/>
        </w:rPr>
        <w:t>Surviving Mold.</w:t>
      </w:r>
      <w:r>
        <w:rPr>
          <w:rFonts w:ascii="Times New Roman" w:hAnsi="Times New Roman"/>
          <w:color w:val="0E101A"/>
        </w:rPr>
        <w:t xml:space="preserve">” </w:t>
      </w:r>
      <w:r>
        <w:rPr>
          <w:rStyle w:val="None"/>
          <w:rFonts w:ascii="Times New Roman" w:hAnsi="Times New Roman"/>
          <w:i/>
          <w:iCs/>
          <w:color w:val="0E101A"/>
        </w:rPr>
        <w:t>IMR</w:t>
      </w:r>
      <w:r>
        <w:rPr>
          <w:rFonts w:ascii="Times New Roman" w:hAnsi="Times New Roman"/>
          <w:color w:val="0E101A"/>
        </w:rPr>
        <w:t xml:space="preserve"> 4, no. 5 (2018): 1</w:t>
      </w:r>
      <w:r>
        <w:rPr>
          <w:rFonts w:ascii="Times New Roman" w:hAnsi="Times New Roman"/>
          <w:color w:val="0E101A"/>
        </w:rPr>
        <w:t>–</w:t>
      </w:r>
      <w:r>
        <w:rPr>
          <w:rFonts w:ascii="Times New Roman" w:hAnsi="Times New Roman"/>
          <w:color w:val="0E101A"/>
        </w:rPr>
        <w:t>47.</w:t>
      </w:r>
    </w:p>
    <w:p w14:paraId="1773EE00"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Shi, Xinying, Prashant K. Khade, Karissa Y. Sanbonmatsu, and Simpson Joseph. </w:t>
      </w:r>
      <w:r>
        <w:rPr>
          <w:rFonts w:ascii="Times New Roman" w:hAnsi="Times New Roman"/>
          <w:color w:val="0E101A"/>
          <w:rtl/>
          <w:lang w:val="ar-SA"/>
        </w:rPr>
        <w:t>“</w:t>
      </w:r>
      <w:r>
        <w:rPr>
          <w:rFonts w:ascii="Times New Roman" w:hAnsi="Times New Roman"/>
          <w:color w:val="0E101A"/>
        </w:rPr>
        <w:t>Functional Role of the Sarcin</w:t>
      </w:r>
      <w:r>
        <w:rPr>
          <w:rFonts w:ascii="Times New Roman" w:hAnsi="Times New Roman"/>
          <w:color w:val="0E101A"/>
        </w:rPr>
        <w:t>–</w:t>
      </w:r>
      <w:r>
        <w:rPr>
          <w:rFonts w:ascii="Times New Roman" w:hAnsi="Times New Roman"/>
          <w:color w:val="0E101A"/>
        </w:rPr>
        <w:t>Ricin Loop of the 23S Rrna in the Elongation Cycle of Protein Synthesis.</w:t>
      </w:r>
      <w:r>
        <w:rPr>
          <w:rFonts w:ascii="Times New Roman" w:hAnsi="Times New Roman"/>
          <w:color w:val="0E101A"/>
        </w:rPr>
        <w:t xml:space="preserve">” </w:t>
      </w:r>
      <w:r>
        <w:rPr>
          <w:rStyle w:val="None"/>
          <w:rFonts w:ascii="Times New Roman" w:hAnsi="Times New Roman"/>
          <w:i/>
          <w:iCs/>
          <w:color w:val="0E101A"/>
        </w:rPr>
        <w:t xml:space="preserve">Journal of Molecular </w:t>
      </w:r>
      <w:r>
        <w:rPr>
          <w:rStyle w:val="None"/>
          <w:rFonts w:ascii="Times New Roman" w:hAnsi="Times New Roman"/>
          <w:i/>
          <w:iCs/>
          <w:color w:val="0E101A"/>
        </w:rPr>
        <w:t>Biology</w:t>
      </w:r>
      <w:r>
        <w:rPr>
          <w:rFonts w:ascii="Times New Roman" w:hAnsi="Times New Roman"/>
          <w:color w:val="0E101A"/>
        </w:rPr>
        <w:t xml:space="preserve"> 419, no. 3-4 (2012): 125</w:t>
      </w:r>
      <w:r>
        <w:rPr>
          <w:rFonts w:ascii="Times New Roman" w:hAnsi="Times New Roman"/>
          <w:color w:val="0E101A"/>
        </w:rPr>
        <w:t>–</w:t>
      </w:r>
      <w:r>
        <w:rPr>
          <w:rFonts w:ascii="Times New Roman" w:hAnsi="Times New Roman"/>
          <w:color w:val="0E101A"/>
        </w:rPr>
        <w:t>38. https://doi.org/10.1016/j.jmb.2012.03.016.</w:t>
      </w:r>
    </w:p>
    <w:p w14:paraId="557E25A7"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Prasun, Pankaj. </w:t>
      </w:r>
      <w:r>
        <w:rPr>
          <w:rFonts w:ascii="Times New Roman" w:hAnsi="Times New Roman"/>
          <w:color w:val="0E101A"/>
          <w:rtl/>
          <w:lang w:val="ar-SA"/>
        </w:rPr>
        <w:t>“</w:t>
      </w:r>
      <w:r>
        <w:rPr>
          <w:rFonts w:ascii="Times New Roman" w:hAnsi="Times New Roman"/>
          <w:color w:val="0E101A"/>
        </w:rPr>
        <w:t>Mitochondrial Genetics.</w:t>
      </w:r>
      <w:r>
        <w:rPr>
          <w:rFonts w:ascii="Times New Roman" w:hAnsi="Times New Roman"/>
          <w:color w:val="0E101A"/>
        </w:rPr>
        <w:t xml:space="preserve">” </w:t>
      </w:r>
      <w:r>
        <w:rPr>
          <w:rStyle w:val="None"/>
          <w:rFonts w:ascii="Times New Roman" w:hAnsi="Times New Roman"/>
          <w:i/>
          <w:iCs/>
          <w:color w:val="0E101A"/>
          <w:lang w:val="es-ES_tradnl"/>
        </w:rPr>
        <w:t>Mitochondrial Medicine</w:t>
      </w:r>
      <w:r>
        <w:rPr>
          <w:rFonts w:ascii="Times New Roman" w:hAnsi="Times New Roman"/>
          <w:color w:val="0E101A"/>
        </w:rPr>
        <w:t>, 2019, 7</w:t>
      </w:r>
      <w:r>
        <w:rPr>
          <w:rFonts w:ascii="Times New Roman" w:hAnsi="Times New Roman"/>
          <w:color w:val="0E101A"/>
        </w:rPr>
        <w:t>–</w:t>
      </w:r>
      <w:r>
        <w:rPr>
          <w:rFonts w:ascii="Times New Roman" w:hAnsi="Times New Roman"/>
          <w:color w:val="0E101A"/>
        </w:rPr>
        <w:t xml:space="preserve">9. </w:t>
      </w:r>
      <w:r>
        <w:rPr>
          <w:rFonts w:ascii="Times New Roman" w:hAnsi="Times New Roman"/>
          <w:color w:val="0E101A"/>
        </w:rPr>
        <w:t>https://doi.org/10.1016/b978-0-12-817006-9.00003-4.</w:t>
      </w:r>
    </w:p>
    <w:p w14:paraId="63776596"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Grevel, Alexander, and Thomas Becker. </w:t>
      </w:r>
      <w:r>
        <w:rPr>
          <w:rFonts w:ascii="Times New Roman" w:hAnsi="Times New Roman"/>
          <w:color w:val="0E101A"/>
          <w:rtl/>
          <w:lang w:val="ar-SA"/>
        </w:rPr>
        <w:t>“</w:t>
      </w:r>
      <w:r>
        <w:rPr>
          <w:rFonts w:ascii="Times New Roman" w:hAnsi="Times New Roman"/>
          <w:color w:val="0E101A"/>
          <w:lang w:val="de-DE"/>
        </w:rPr>
        <w:t>Porins as Helpers in Mitochondrial Protein Translocation.</w:t>
      </w:r>
      <w:r>
        <w:rPr>
          <w:rFonts w:ascii="Times New Roman" w:hAnsi="Times New Roman"/>
          <w:color w:val="0E101A"/>
        </w:rPr>
        <w:t xml:space="preserve">” </w:t>
      </w:r>
      <w:r>
        <w:rPr>
          <w:rStyle w:val="None"/>
          <w:rFonts w:ascii="Times New Roman" w:hAnsi="Times New Roman"/>
          <w:i/>
          <w:iCs/>
          <w:color w:val="0E101A"/>
        </w:rPr>
        <w:t>Biological Chemistry</w:t>
      </w:r>
      <w:r>
        <w:rPr>
          <w:rFonts w:ascii="Times New Roman" w:hAnsi="Times New Roman"/>
          <w:color w:val="0E101A"/>
        </w:rPr>
        <w:t xml:space="preserve"> 401, no. 6-7 (2020): 699</w:t>
      </w:r>
      <w:r>
        <w:rPr>
          <w:rFonts w:ascii="Times New Roman" w:hAnsi="Times New Roman"/>
          <w:color w:val="0E101A"/>
        </w:rPr>
        <w:t>–</w:t>
      </w:r>
      <w:r>
        <w:rPr>
          <w:rFonts w:ascii="Times New Roman" w:hAnsi="Times New Roman"/>
          <w:color w:val="0E101A"/>
        </w:rPr>
        <w:t xml:space="preserve">708. https://doi.org/10.1515/hsz-2019-0438. </w:t>
      </w:r>
    </w:p>
    <w:p w14:paraId="7681173C" w14:textId="77777777" w:rsidR="002F1423" w:rsidRDefault="00927F0D">
      <w:pPr>
        <w:pStyle w:val="Default"/>
        <w:numPr>
          <w:ilvl w:val="0"/>
          <w:numId w:val="2"/>
        </w:numPr>
        <w:spacing w:before="0" w:line="240" w:lineRule="auto"/>
        <w:rPr>
          <w:rFonts w:ascii="Times New Roman" w:hAnsi="Times New Roman"/>
          <w:color w:val="0E101A"/>
          <w:lang w:val="de-DE"/>
        </w:rPr>
      </w:pPr>
      <w:r>
        <w:rPr>
          <w:rFonts w:ascii="Times New Roman" w:hAnsi="Times New Roman"/>
          <w:color w:val="0E101A"/>
          <w:lang w:val="de-DE"/>
        </w:rPr>
        <w:t>Ellenrieder, Lars, Martin P. Dieterle, Kim Nguyen Doan, Christoph U. M</w:t>
      </w:r>
      <w:r>
        <w:rPr>
          <w:rFonts w:ascii="Times New Roman" w:hAnsi="Times New Roman"/>
          <w:color w:val="0E101A"/>
          <w:lang w:val="da-DK"/>
        </w:rPr>
        <w:t>å</w:t>
      </w:r>
      <w:r>
        <w:rPr>
          <w:rFonts w:ascii="Times New Roman" w:hAnsi="Times New Roman"/>
          <w:color w:val="0E101A"/>
          <w:lang w:val="nl-NL"/>
        </w:rPr>
        <w:t>rtensson, Alessia Floerchinger, Mar</w:t>
      </w:r>
      <w:r>
        <w:rPr>
          <w:rFonts w:ascii="Times New Roman" w:hAnsi="Times New Roman"/>
          <w:color w:val="0E101A"/>
        </w:rPr>
        <w:t>í</w:t>
      </w:r>
      <w:r>
        <w:rPr>
          <w:rFonts w:ascii="Times New Roman" w:hAnsi="Times New Roman"/>
          <w:color w:val="0E101A"/>
          <w:lang w:val="de-DE"/>
        </w:rPr>
        <w:t xml:space="preserve">a Luisa Campo, Nikolaus Pfanner, and Thomas Becker. </w:t>
      </w:r>
      <w:r>
        <w:rPr>
          <w:rFonts w:ascii="Times New Roman" w:hAnsi="Times New Roman"/>
          <w:color w:val="0E101A"/>
          <w:rtl/>
          <w:lang w:val="ar-SA"/>
        </w:rPr>
        <w:t>“</w:t>
      </w:r>
      <w:r>
        <w:rPr>
          <w:rFonts w:ascii="Times New Roman" w:hAnsi="Times New Roman"/>
          <w:color w:val="0E101A"/>
        </w:rPr>
        <w:t xml:space="preserve">Dual Role of Mitochondrial Porin in </w:t>
      </w:r>
      <w:r>
        <w:rPr>
          <w:rFonts w:ascii="Times New Roman" w:hAnsi="Times New Roman"/>
          <w:color w:val="0E101A"/>
        </w:rPr>
        <w:t>Metabolite Transport across the Outer Membrane and Protein Transfer to the Inner Membrane.</w:t>
      </w:r>
      <w:r>
        <w:rPr>
          <w:rFonts w:ascii="Times New Roman" w:hAnsi="Times New Roman"/>
          <w:color w:val="0E101A"/>
        </w:rPr>
        <w:t xml:space="preserve">” </w:t>
      </w:r>
      <w:r>
        <w:rPr>
          <w:rStyle w:val="None"/>
          <w:rFonts w:ascii="Times New Roman" w:hAnsi="Times New Roman"/>
          <w:i/>
          <w:iCs/>
          <w:color w:val="0E101A"/>
          <w:lang w:val="es-ES_tradnl"/>
        </w:rPr>
        <w:t>Molecular Cell</w:t>
      </w:r>
      <w:r>
        <w:rPr>
          <w:rFonts w:ascii="Times New Roman" w:hAnsi="Times New Roman"/>
          <w:color w:val="0E101A"/>
        </w:rPr>
        <w:t xml:space="preserve"> 73, no. 5 (2019). https://doi.org/10.1016/j.molcel.2018.12.014.</w:t>
      </w:r>
    </w:p>
    <w:p w14:paraId="516560A4" w14:textId="77777777" w:rsidR="002F1423" w:rsidRDefault="00927F0D">
      <w:pPr>
        <w:pStyle w:val="Default"/>
        <w:numPr>
          <w:ilvl w:val="0"/>
          <w:numId w:val="2"/>
        </w:numPr>
        <w:spacing w:before="0" w:line="240" w:lineRule="auto"/>
        <w:rPr>
          <w:rFonts w:ascii="Times New Roman" w:hAnsi="Times New Roman"/>
          <w:color w:val="0E101A"/>
          <w:lang w:val="de-DE"/>
        </w:rPr>
      </w:pPr>
      <w:r>
        <w:rPr>
          <w:rFonts w:ascii="Times New Roman" w:hAnsi="Times New Roman"/>
          <w:color w:val="0E101A"/>
          <w:lang w:val="de-DE"/>
        </w:rPr>
        <w:t>Ellenrieder, Lars, Martin P. Dieterle, Kim Nguyen Doan, Christoph U. M</w:t>
      </w:r>
      <w:r>
        <w:rPr>
          <w:rFonts w:ascii="Times New Roman" w:hAnsi="Times New Roman"/>
          <w:color w:val="0E101A"/>
          <w:lang w:val="da-DK"/>
        </w:rPr>
        <w:t>å</w:t>
      </w:r>
      <w:r>
        <w:rPr>
          <w:rFonts w:ascii="Times New Roman" w:hAnsi="Times New Roman"/>
          <w:color w:val="0E101A"/>
          <w:lang w:val="nl-NL"/>
        </w:rPr>
        <w:t>rtensson, Alessia Floerchinger, Mar</w:t>
      </w:r>
      <w:r>
        <w:rPr>
          <w:rFonts w:ascii="Times New Roman" w:hAnsi="Times New Roman"/>
          <w:color w:val="0E101A"/>
        </w:rPr>
        <w:t>í</w:t>
      </w:r>
      <w:r>
        <w:rPr>
          <w:rFonts w:ascii="Times New Roman" w:hAnsi="Times New Roman"/>
          <w:color w:val="0E101A"/>
          <w:lang w:val="de-DE"/>
        </w:rPr>
        <w:t xml:space="preserve">a Luisa Campo, Nikolaus Pfanner, and Thomas Becker. </w:t>
      </w:r>
      <w:r>
        <w:rPr>
          <w:rFonts w:ascii="Times New Roman" w:hAnsi="Times New Roman"/>
          <w:color w:val="0E101A"/>
          <w:rtl/>
          <w:lang w:val="ar-SA"/>
        </w:rPr>
        <w:t>“</w:t>
      </w:r>
      <w:r>
        <w:rPr>
          <w:rFonts w:ascii="Times New Roman" w:hAnsi="Times New Roman"/>
          <w:color w:val="0E101A"/>
        </w:rPr>
        <w:t>Dual Role of Mitochondrial Porin in Metabolite Transport across the Outer Membrane and Protein Transfer to the Inner Membrane.</w:t>
      </w:r>
      <w:r>
        <w:rPr>
          <w:rFonts w:ascii="Times New Roman" w:hAnsi="Times New Roman"/>
          <w:color w:val="0E101A"/>
        </w:rPr>
        <w:t xml:space="preserve">” </w:t>
      </w:r>
      <w:r>
        <w:rPr>
          <w:rStyle w:val="None"/>
          <w:rFonts w:ascii="Times New Roman" w:hAnsi="Times New Roman"/>
          <w:i/>
          <w:iCs/>
          <w:color w:val="0E101A"/>
          <w:lang w:val="es-ES_tradnl"/>
        </w:rPr>
        <w:t>Molecular Cell</w:t>
      </w:r>
      <w:r>
        <w:rPr>
          <w:rFonts w:ascii="Times New Roman" w:hAnsi="Times New Roman"/>
          <w:color w:val="0E101A"/>
        </w:rPr>
        <w:t xml:space="preserve"> 73, no. 5 (2019). https://doi.org/10.1016/j.molcel.2018.12.014.</w:t>
      </w:r>
    </w:p>
    <w:p w14:paraId="3939598E" w14:textId="77777777" w:rsidR="002F1423" w:rsidRDefault="00927F0D">
      <w:pPr>
        <w:pStyle w:val="Default"/>
        <w:numPr>
          <w:ilvl w:val="0"/>
          <w:numId w:val="2"/>
        </w:numPr>
        <w:spacing w:before="0" w:line="240" w:lineRule="auto"/>
        <w:rPr>
          <w:rFonts w:ascii="Times New Roman" w:hAnsi="Times New Roman"/>
          <w:color w:val="0E101A"/>
          <w:lang w:val="da-DK"/>
        </w:rPr>
      </w:pPr>
      <w:r>
        <w:rPr>
          <w:rFonts w:ascii="Times New Roman" w:hAnsi="Times New Roman"/>
          <w:color w:val="0E101A"/>
          <w:lang w:val="da-DK"/>
        </w:rPr>
        <w:t xml:space="preserve">Krimmer, Thomas, Doron Rapaport, Michael T. Ryan, Chris Meisinger, C. Kenneth Kassenbrock, Elizabeth Blachly-Dyson, Michael Forte, et al. </w:t>
      </w:r>
      <w:r>
        <w:rPr>
          <w:rFonts w:ascii="Times New Roman" w:hAnsi="Times New Roman"/>
          <w:color w:val="0E101A"/>
          <w:rtl/>
          <w:lang w:val="ar-SA"/>
        </w:rPr>
        <w:t>“</w:t>
      </w:r>
      <w:r>
        <w:rPr>
          <w:rFonts w:ascii="Times New Roman" w:hAnsi="Times New Roman"/>
          <w:color w:val="0E101A"/>
        </w:rPr>
        <w:t xml:space="preserve">Biogenesis of Porin of the Outer </w:t>
      </w:r>
      <w:r>
        <w:rPr>
          <w:rFonts w:ascii="Times New Roman" w:hAnsi="Times New Roman"/>
          <w:color w:val="0E101A"/>
        </w:rPr>
        <w:t>Mitochondrial Membrane Involves an Import Pathway via Receptors and the General Import Pore of the Tom Complex.</w:t>
      </w:r>
      <w:r>
        <w:rPr>
          <w:rFonts w:ascii="Times New Roman" w:hAnsi="Times New Roman"/>
          <w:color w:val="0E101A"/>
        </w:rPr>
        <w:t xml:space="preserve">” </w:t>
      </w:r>
      <w:r>
        <w:rPr>
          <w:rStyle w:val="None"/>
          <w:rFonts w:ascii="Times New Roman" w:hAnsi="Times New Roman"/>
          <w:i/>
          <w:iCs/>
          <w:color w:val="0E101A"/>
        </w:rPr>
        <w:t>Journal of Cell Biology</w:t>
      </w:r>
      <w:r>
        <w:rPr>
          <w:rFonts w:ascii="Times New Roman" w:hAnsi="Times New Roman"/>
          <w:color w:val="0E101A"/>
        </w:rPr>
        <w:t xml:space="preserve"> 152, no. 2 (2001): 289</w:t>
      </w:r>
      <w:r>
        <w:rPr>
          <w:rFonts w:ascii="Times New Roman" w:hAnsi="Times New Roman"/>
          <w:color w:val="0E101A"/>
        </w:rPr>
        <w:t>–</w:t>
      </w:r>
      <w:r>
        <w:rPr>
          <w:rFonts w:ascii="Times New Roman" w:hAnsi="Times New Roman"/>
          <w:color w:val="0E101A"/>
        </w:rPr>
        <w:t>300. https://doi.org/10.1083/jcb.152.2.289.</w:t>
      </w:r>
    </w:p>
    <w:p w14:paraId="682D7E97"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Potter, Michelle, Emma Newport, and Karl J. Morten. </w:t>
      </w:r>
      <w:r>
        <w:rPr>
          <w:rFonts w:ascii="Times New Roman" w:hAnsi="Times New Roman"/>
          <w:color w:val="0E101A"/>
          <w:rtl/>
          <w:lang w:val="ar-SA"/>
        </w:rPr>
        <w:t>“</w:t>
      </w:r>
      <w:r>
        <w:rPr>
          <w:rFonts w:ascii="Times New Roman" w:hAnsi="Times New Roman"/>
          <w:color w:val="0E101A"/>
        </w:rPr>
        <w:t>The Warburg Effect: 80 Years On.</w:t>
      </w:r>
      <w:r>
        <w:rPr>
          <w:rFonts w:ascii="Times New Roman" w:hAnsi="Times New Roman"/>
          <w:color w:val="0E101A"/>
        </w:rPr>
        <w:t xml:space="preserve">” </w:t>
      </w:r>
      <w:r>
        <w:rPr>
          <w:rStyle w:val="None"/>
          <w:rFonts w:ascii="Times New Roman" w:hAnsi="Times New Roman"/>
          <w:i/>
          <w:iCs/>
          <w:color w:val="0E101A"/>
        </w:rPr>
        <w:t>Biochemical Society Transactions</w:t>
      </w:r>
      <w:r>
        <w:rPr>
          <w:rFonts w:ascii="Times New Roman" w:hAnsi="Times New Roman"/>
          <w:color w:val="0E101A"/>
        </w:rPr>
        <w:t xml:space="preserve"> 44, no. 5 (2016): 1499</w:t>
      </w:r>
      <w:r>
        <w:rPr>
          <w:rFonts w:ascii="Times New Roman" w:hAnsi="Times New Roman"/>
          <w:color w:val="0E101A"/>
        </w:rPr>
        <w:t>–</w:t>
      </w:r>
      <w:r>
        <w:rPr>
          <w:rFonts w:ascii="Times New Roman" w:hAnsi="Times New Roman"/>
          <w:color w:val="0E101A"/>
        </w:rPr>
        <w:t>1505. https://doi.org/10.1042/bst20160094.</w:t>
      </w:r>
    </w:p>
    <w:p w14:paraId="345E572D"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Burns, Jorge, and Gina Manda. </w:t>
      </w:r>
      <w:r>
        <w:rPr>
          <w:rFonts w:ascii="Times New Roman" w:hAnsi="Times New Roman"/>
          <w:color w:val="0E101A"/>
          <w:rtl/>
          <w:lang w:val="ar-SA"/>
        </w:rPr>
        <w:t>“</w:t>
      </w:r>
      <w:r>
        <w:rPr>
          <w:rFonts w:ascii="Times New Roman" w:hAnsi="Times New Roman"/>
          <w:color w:val="0E101A"/>
        </w:rPr>
        <w:t xml:space="preserve">Metabolic Pathways of the Warburg Effect in Health and Disease: Perspectives of </w:t>
      </w:r>
      <w:r>
        <w:rPr>
          <w:rFonts w:ascii="Times New Roman" w:hAnsi="Times New Roman"/>
          <w:color w:val="0E101A"/>
        </w:rPr>
        <w:t>Choice, Chain or Chance.</w:t>
      </w:r>
      <w:r>
        <w:rPr>
          <w:rFonts w:ascii="Times New Roman" w:hAnsi="Times New Roman"/>
          <w:color w:val="0E101A"/>
        </w:rPr>
        <w:t xml:space="preserve">” </w:t>
      </w:r>
      <w:r>
        <w:rPr>
          <w:rStyle w:val="None"/>
          <w:rFonts w:ascii="Times New Roman" w:hAnsi="Times New Roman"/>
          <w:i/>
          <w:iCs/>
          <w:color w:val="0E101A"/>
        </w:rPr>
        <w:t>International Journal of Molecular Sciences</w:t>
      </w:r>
      <w:r>
        <w:rPr>
          <w:rFonts w:ascii="Times New Roman" w:hAnsi="Times New Roman"/>
          <w:color w:val="0E101A"/>
        </w:rPr>
        <w:t xml:space="preserve"> 18, no. 12 (2017): 2755. https://doi.org/10.3390/ijms18122755.</w:t>
      </w:r>
    </w:p>
    <w:p w14:paraId="2243178A" w14:textId="77777777" w:rsidR="002F1423" w:rsidRDefault="00927F0D">
      <w:pPr>
        <w:pStyle w:val="Default"/>
        <w:numPr>
          <w:ilvl w:val="0"/>
          <w:numId w:val="2"/>
        </w:numPr>
        <w:spacing w:before="0" w:line="240" w:lineRule="auto"/>
        <w:rPr>
          <w:rFonts w:ascii="Times New Roman" w:hAnsi="Times New Roman"/>
          <w:color w:val="0E101A"/>
          <w:lang w:val="de-DE"/>
        </w:rPr>
      </w:pPr>
      <w:r>
        <w:rPr>
          <w:rFonts w:ascii="Times New Roman" w:hAnsi="Times New Roman"/>
          <w:color w:val="0E101A"/>
          <w:lang w:val="de-DE"/>
        </w:rPr>
        <w:t xml:space="preserve">Shoshan-Barmatz, Varda, Edna Nahon-Crystal, Anna Shteinfer-Kuzmine, and Rajeev Gupta. </w:t>
      </w:r>
      <w:r>
        <w:rPr>
          <w:rFonts w:ascii="Times New Roman" w:hAnsi="Times New Roman"/>
          <w:color w:val="0E101A"/>
          <w:rtl/>
          <w:lang w:val="ar-SA"/>
        </w:rPr>
        <w:t>“</w:t>
      </w:r>
      <w:r>
        <w:rPr>
          <w:rFonts w:ascii="Times New Roman" w:hAnsi="Times New Roman"/>
          <w:color w:val="0E101A"/>
        </w:rPr>
        <w:t xml:space="preserve">VDAC1, Mitochondrial </w:t>
      </w:r>
      <w:r>
        <w:rPr>
          <w:rFonts w:ascii="Times New Roman" w:hAnsi="Times New Roman"/>
          <w:color w:val="0E101A"/>
        </w:rPr>
        <w:t>Dysfunction, and Alzheimer's Disease.</w:t>
      </w:r>
      <w:r>
        <w:rPr>
          <w:rFonts w:ascii="Times New Roman" w:hAnsi="Times New Roman"/>
          <w:color w:val="0E101A"/>
        </w:rPr>
        <w:t xml:space="preserve">” </w:t>
      </w:r>
      <w:r>
        <w:rPr>
          <w:rStyle w:val="None"/>
          <w:rFonts w:ascii="Times New Roman" w:hAnsi="Times New Roman"/>
          <w:i/>
          <w:iCs/>
          <w:color w:val="0E101A"/>
          <w:lang w:val="it-IT"/>
        </w:rPr>
        <w:t>Pharmacological Research</w:t>
      </w:r>
      <w:r>
        <w:rPr>
          <w:rFonts w:ascii="Times New Roman" w:hAnsi="Times New Roman"/>
          <w:color w:val="0E101A"/>
        </w:rPr>
        <w:t xml:space="preserve"> 131 (2018): 87</w:t>
      </w:r>
      <w:r>
        <w:rPr>
          <w:rFonts w:ascii="Times New Roman" w:hAnsi="Times New Roman"/>
          <w:color w:val="0E101A"/>
        </w:rPr>
        <w:t>–</w:t>
      </w:r>
      <w:r>
        <w:rPr>
          <w:rFonts w:ascii="Times New Roman" w:hAnsi="Times New Roman"/>
          <w:color w:val="0E101A"/>
        </w:rPr>
        <w:t>101. https://doi.org/10.1016/j.phrs.2018.03.010.</w:t>
      </w:r>
    </w:p>
    <w:p w14:paraId="02EAD9D6"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Manczak, M., and P. H. Reddy. </w:t>
      </w:r>
      <w:r>
        <w:rPr>
          <w:rFonts w:ascii="Times New Roman" w:hAnsi="Times New Roman"/>
          <w:color w:val="0E101A"/>
          <w:rtl/>
          <w:lang w:val="ar-SA"/>
        </w:rPr>
        <w:t>“</w:t>
      </w:r>
      <w:r>
        <w:rPr>
          <w:rFonts w:ascii="Times New Roman" w:hAnsi="Times New Roman"/>
          <w:color w:val="0E101A"/>
        </w:rPr>
        <w:t xml:space="preserve">Abnormal Interaction of VDAC1 with Amyloid Beta and Phosphorylated Tau Causes </w:t>
      </w:r>
      <w:r>
        <w:rPr>
          <w:rFonts w:ascii="Times New Roman" w:hAnsi="Times New Roman"/>
          <w:color w:val="0E101A"/>
        </w:rPr>
        <w:t>Mitochondrial Dysfunction in Alzheimer's Disease.</w:t>
      </w:r>
      <w:r>
        <w:rPr>
          <w:rFonts w:ascii="Times New Roman" w:hAnsi="Times New Roman"/>
          <w:color w:val="0E101A"/>
        </w:rPr>
        <w:t xml:space="preserve">” </w:t>
      </w:r>
      <w:r>
        <w:rPr>
          <w:rStyle w:val="None"/>
          <w:rFonts w:ascii="Times New Roman" w:hAnsi="Times New Roman"/>
          <w:i/>
          <w:iCs/>
          <w:color w:val="0E101A"/>
        </w:rPr>
        <w:t>Human Molecular Genetics</w:t>
      </w:r>
      <w:r>
        <w:rPr>
          <w:rFonts w:ascii="Times New Roman" w:hAnsi="Times New Roman"/>
          <w:color w:val="0E101A"/>
        </w:rPr>
        <w:t xml:space="preserve"> 21, no. 23 (2012): 5131</w:t>
      </w:r>
      <w:r>
        <w:rPr>
          <w:rFonts w:ascii="Times New Roman" w:hAnsi="Times New Roman"/>
          <w:color w:val="0E101A"/>
        </w:rPr>
        <w:t>–</w:t>
      </w:r>
      <w:r>
        <w:rPr>
          <w:rFonts w:ascii="Times New Roman" w:hAnsi="Times New Roman"/>
          <w:color w:val="0E101A"/>
        </w:rPr>
        <w:t>46. https://doi.org/10.1093/hmg/dds360.</w:t>
      </w:r>
    </w:p>
    <w:p w14:paraId="06B38BE9"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Manczak, Maria, and P. Hemachandra Reddy. </w:t>
      </w:r>
      <w:r>
        <w:rPr>
          <w:rFonts w:ascii="Times New Roman" w:hAnsi="Times New Roman"/>
          <w:color w:val="0E101A"/>
          <w:rtl/>
          <w:lang w:val="ar-SA"/>
        </w:rPr>
        <w:t>“</w:t>
      </w:r>
      <w:r>
        <w:rPr>
          <w:rFonts w:ascii="Times New Roman" w:hAnsi="Times New Roman"/>
          <w:color w:val="0E101A"/>
        </w:rPr>
        <w:t xml:space="preserve">RNA Silencing of Genes Involved in Alzheimer's Disease Enhances </w:t>
      </w:r>
      <w:r>
        <w:rPr>
          <w:rFonts w:ascii="Times New Roman" w:hAnsi="Times New Roman"/>
          <w:color w:val="0E101A"/>
        </w:rPr>
        <w:t>Mitochondrial Function and Synaptic Activity.</w:t>
      </w:r>
      <w:r>
        <w:rPr>
          <w:rFonts w:ascii="Times New Roman" w:hAnsi="Times New Roman"/>
          <w:color w:val="0E101A"/>
        </w:rPr>
        <w:t>”</w:t>
      </w:r>
    </w:p>
    <w:p w14:paraId="310B20B8"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Reddy, P. Hemachandra. </w:t>
      </w:r>
      <w:r>
        <w:rPr>
          <w:rFonts w:ascii="Times New Roman" w:hAnsi="Times New Roman"/>
          <w:color w:val="0E101A"/>
          <w:rtl/>
          <w:lang w:val="ar-SA"/>
        </w:rPr>
        <w:t>“</w:t>
      </w:r>
      <w:r>
        <w:rPr>
          <w:rFonts w:ascii="Times New Roman" w:hAnsi="Times New Roman"/>
          <w:color w:val="0E101A"/>
        </w:rPr>
        <w:t>Is the Mitochondrial Outermembrane Protein VDAC1 Therapeutic Target for Alzheimer's Disease?</w:t>
      </w:r>
      <w:r>
        <w:rPr>
          <w:rFonts w:ascii="Times New Roman" w:hAnsi="Times New Roman"/>
          <w:color w:val="0E101A"/>
        </w:rPr>
        <w:t xml:space="preserve">” </w:t>
      </w:r>
      <w:r>
        <w:rPr>
          <w:rStyle w:val="None"/>
          <w:rFonts w:ascii="Times New Roman" w:hAnsi="Times New Roman"/>
          <w:i/>
          <w:iCs/>
          <w:color w:val="0E101A"/>
        </w:rPr>
        <w:t>Biochimica et Biophysica Acta (BBA) - Molecular Basis of Disease</w:t>
      </w:r>
      <w:r>
        <w:rPr>
          <w:rFonts w:ascii="Times New Roman" w:hAnsi="Times New Roman"/>
          <w:color w:val="0E101A"/>
        </w:rPr>
        <w:t xml:space="preserve"> 1832, no. 1 (2013): 67</w:t>
      </w:r>
      <w:r>
        <w:rPr>
          <w:rFonts w:ascii="Times New Roman" w:hAnsi="Times New Roman"/>
          <w:color w:val="0E101A"/>
        </w:rPr>
        <w:t>–</w:t>
      </w:r>
      <w:r>
        <w:rPr>
          <w:rFonts w:ascii="Times New Roman" w:hAnsi="Times New Roman"/>
          <w:color w:val="0E101A"/>
          <w:lang w:val="pt-PT"/>
        </w:rPr>
        <w:t>75. https://doi.org/10.1016/j.bbadis.2012.09.003.</w:t>
      </w:r>
    </w:p>
    <w:p w14:paraId="12F310B9" w14:textId="77777777" w:rsidR="002F1423" w:rsidRDefault="00927F0D">
      <w:pPr>
        <w:pStyle w:val="Default"/>
        <w:numPr>
          <w:ilvl w:val="0"/>
          <w:numId w:val="2"/>
        </w:numPr>
        <w:spacing w:before="0" w:line="240" w:lineRule="auto"/>
        <w:rPr>
          <w:rFonts w:ascii="Times New Roman" w:hAnsi="Times New Roman"/>
          <w:color w:val="0E101A"/>
          <w:lang w:val="it-IT"/>
        </w:rPr>
      </w:pPr>
      <w:r>
        <w:rPr>
          <w:rFonts w:ascii="Times New Roman" w:hAnsi="Times New Roman"/>
          <w:color w:val="0E101A"/>
          <w:lang w:val="it-IT"/>
        </w:rPr>
        <w:t xml:space="preserve">Smilansky, Angela, Liron Dangoor, Itay Nakdimon, Danya Ben-Hail, Dario Mizrachi, and Varda Shoshan-Barmatz. </w:t>
      </w:r>
      <w:r>
        <w:rPr>
          <w:rFonts w:ascii="Times New Roman" w:hAnsi="Times New Roman"/>
          <w:color w:val="0E101A"/>
          <w:rtl/>
          <w:lang w:val="ar-SA"/>
        </w:rPr>
        <w:t>“</w:t>
      </w:r>
      <w:r>
        <w:rPr>
          <w:rFonts w:ascii="Times New Roman" w:hAnsi="Times New Roman"/>
          <w:color w:val="0E101A"/>
          <w:lang w:val="it-IT"/>
        </w:rPr>
        <w:t xml:space="preserve">The Voltage-Dependent Anion Channel 1 Mediates Amyloid </w:t>
      </w:r>
      <w:r>
        <w:rPr>
          <w:rFonts w:ascii="Times New Roman" w:hAnsi="Times New Roman"/>
          <w:color w:val="0E101A"/>
        </w:rPr>
        <w:t xml:space="preserve">β </w:t>
      </w:r>
      <w:r>
        <w:rPr>
          <w:rFonts w:ascii="Times New Roman" w:hAnsi="Times New Roman"/>
          <w:color w:val="0E101A"/>
        </w:rPr>
        <w:t>Toxicity and Represents a Potential Target for Alzheimer Disease Therapy.</w:t>
      </w:r>
      <w:r>
        <w:rPr>
          <w:rFonts w:ascii="Times New Roman" w:hAnsi="Times New Roman"/>
          <w:color w:val="0E101A"/>
        </w:rPr>
        <w:t xml:space="preserve">” </w:t>
      </w:r>
      <w:r>
        <w:rPr>
          <w:rStyle w:val="None"/>
          <w:rFonts w:ascii="Times New Roman" w:hAnsi="Times New Roman"/>
          <w:i/>
          <w:iCs/>
          <w:color w:val="0E101A"/>
        </w:rPr>
        <w:t xml:space="preserve">Journal of </w:t>
      </w:r>
      <w:r>
        <w:rPr>
          <w:rStyle w:val="None"/>
          <w:rFonts w:ascii="Times New Roman" w:hAnsi="Times New Roman"/>
          <w:i/>
          <w:iCs/>
          <w:color w:val="0E101A"/>
        </w:rPr>
        <w:t>Biological Chemistry</w:t>
      </w:r>
      <w:r>
        <w:rPr>
          <w:rFonts w:ascii="Times New Roman" w:hAnsi="Times New Roman"/>
          <w:color w:val="0E101A"/>
        </w:rPr>
        <w:t xml:space="preserve"> 290, no. 52 (2015): 30670</w:t>
      </w:r>
      <w:r>
        <w:rPr>
          <w:rFonts w:ascii="Times New Roman" w:hAnsi="Times New Roman"/>
          <w:color w:val="0E101A"/>
        </w:rPr>
        <w:t>–</w:t>
      </w:r>
      <w:r>
        <w:rPr>
          <w:rFonts w:ascii="Times New Roman" w:hAnsi="Times New Roman"/>
          <w:color w:val="0E101A"/>
        </w:rPr>
        <w:t>83. https://doi.org/10.1074/jbc.m115.691493.</w:t>
      </w:r>
    </w:p>
    <w:p w14:paraId="11D5444B" w14:textId="77777777" w:rsidR="002F1423" w:rsidRDefault="00927F0D">
      <w:pPr>
        <w:pStyle w:val="Default"/>
        <w:numPr>
          <w:ilvl w:val="0"/>
          <w:numId w:val="2"/>
        </w:numPr>
        <w:spacing w:before="0" w:line="240" w:lineRule="auto"/>
        <w:rPr>
          <w:rFonts w:ascii="Times New Roman" w:hAnsi="Times New Roman"/>
          <w:color w:val="0E101A"/>
          <w:lang w:val="nl-NL"/>
        </w:rPr>
      </w:pPr>
      <w:r>
        <w:rPr>
          <w:rFonts w:ascii="Times New Roman" w:hAnsi="Times New Roman"/>
          <w:color w:val="0E101A"/>
          <w:lang w:val="nl-NL"/>
        </w:rPr>
        <w:t xml:space="preserve">van der Poll, Tom, Frank L. van de Veerdonk, Brendon P. Scicluna, and Mihai G. Netea. </w:t>
      </w:r>
      <w:r>
        <w:rPr>
          <w:rFonts w:ascii="Times New Roman" w:hAnsi="Times New Roman"/>
          <w:color w:val="0E101A"/>
          <w:rtl/>
          <w:lang w:val="ar-SA"/>
        </w:rPr>
        <w:t>“</w:t>
      </w:r>
      <w:r>
        <w:rPr>
          <w:rFonts w:ascii="Times New Roman" w:hAnsi="Times New Roman"/>
          <w:color w:val="0E101A"/>
        </w:rPr>
        <w:t>The Immunopathology of Sepsis and Potential Therapeutic Targets.</w:t>
      </w:r>
      <w:r>
        <w:rPr>
          <w:rFonts w:ascii="Times New Roman" w:hAnsi="Times New Roman"/>
          <w:color w:val="0E101A"/>
        </w:rPr>
        <w:t xml:space="preserve">” </w:t>
      </w:r>
      <w:r>
        <w:rPr>
          <w:rStyle w:val="None"/>
          <w:rFonts w:ascii="Times New Roman" w:hAnsi="Times New Roman"/>
          <w:i/>
          <w:iCs/>
          <w:color w:val="0E101A"/>
        </w:rPr>
        <w:t>Nature Reviews Immunology</w:t>
      </w:r>
      <w:r>
        <w:rPr>
          <w:rFonts w:ascii="Times New Roman" w:hAnsi="Times New Roman"/>
          <w:color w:val="0E101A"/>
        </w:rPr>
        <w:t xml:space="preserve"> 17, no. 7 (2017): 407</w:t>
      </w:r>
      <w:r>
        <w:rPr>
          <w:rFonts w:ascii="Times New Roman" w:hAnsi="Times New Roman"/>
          <w:color w:val="0E101A"/>
        </w:rPr>
        <w:t>–</w:t>
      </w:r>
      <w:r>
        <w:rPr>
          <w:rFonts w:ascii="Times New Roman" w:hAnsi="Times New Roman"/>
          <w:color w:val="0E101A"/>
        </w:rPr>
        <w:t xml:space="preserve">20. https://doi.org/10.1038/nri.2017.36. </w:t>
      </w:r>
    </w:p>
    <w:p w14:paraId="3DA99A1F"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Shoemaker, Ritchie C., Dennis House, and James C. Ryan. </w:t>
      </w:r>
      <w:r>
        <w:rPr>
          <w:rFonts w:ascii="Times New Roman" w:hAnsi="Times New Roman"/>
          <w:color w:val="0E101A"/>
          <w:rtl/>
          <w:lang w:val="ar-SA"/>
        </w:rPr>
        <w:t>“</w:t>
      </w:r>
      <w:r>
        <w:rPr>
          <w:rFonts w:ascii="Times New Roman" w:hAnsi="Times New Roman"/>
          <w:color w:val="0E101A"/>
        </w:rPr>
        <w:t xml:space="preserve">Structural Brain Abnormalities in Patients with Inflammatory Illness Acquired Following Exposure to </w:t>
      </w:r>
      <w:r>
        <w:rPr>
          <w:rFonts w:ascii="Times New Roman" w:hAnsi="Times New Roman"/>
          <w:color w:val="0E101A"/>
        </w:rPr>
        <w:t>Water-Damaged Buildings: A Volumetric MRI Study Using NeuroQuant</w:t>
      </w:r>
      <w:r>
        <w:rPr>
          <w:rFonts w:ascii="Times New Roman" w:hAnsi="Times New Roman"/>
          <w:color w:val="0E101A"/>
        </w:rPr>
        <w:t>®</w:t>
      </w:r>
      <w:r>
        <w:rPr>
          <w:rFonts w:ascii="Times New Roman" w:hAnsi="Times New Roman"/>
          <w:color w:val="0E101A"/>
        </w:rPr>
        <w:t>.</w:t>
      </w:r>
      <w:r>
        <w:rPr>
          <w:rFonts w:ascii="Times New Roman" w:hAnsi="Times New Roman"/>
          <w:color w:val="0E101A"/>
        </w:rPr>
        <w:t xml:space="preserve">” </w:t>
      </w:r>
      <w:r>
        <w:rPr>
          <w:rStyle w:val="None"/>
          <w:rFonts w:ascii="Times New Roman" w:hAnsi="Times New Roman"/>
          <w:i/>
          <w:iCs/>
          <w:color w:val="0E101A"/>
        </w:rPr>
        <w:t>Neurotoxicology and Teratology</w:t>
      </w:r>
      <w:r>
        <w:rPr>
          <w:rFonts w:ascii="Times New Roman" w:hAnsi="Times New Roman"/>
          <w:color w:val="0E101A"/>
        </w:rPr>
        <w:t xml:space="preserve"> 45 (2014): 18</w:t>
      </w:r>
      <w:r>
        <w:rPr>
          <w:rFonts w:ascii="Times New Roman" w:hAnsi="Times New Roman"/>
          <w:color w:val="0E101A"/>
        </w:rPr>
        <w:t>–</w:t>
      </w:r>
      <w:r>
        <w:rPr>
          <w:rFonts w:ascii="Times New Roman" w:hAnsi="Times New Roman"/>
          <w:color w:val="0E101A"/>
          <w:lang w:val="de-DE"/>
        </w:rPr>
        <w:t>26. https://doi.org/10.1016/j.ntt.2014.06.004.</w:t>
      </w:r>
    </w:p>
    <w:p w14:paraId="2E8A612E"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Shoemaker, R., S. McMahon, and J. Ryan. </w:t>
      </w:r>
      <w:r>
        <w:rPr>
          <w:rFonts w:ascii="Times New Roman" w:hAnsi="Times New Roman"/>
          <w:color w:val="0E101A"/>
          <w:rtl/>
          <w:lang w:val="ar-SA"/>
        </w:rPr>
        <w:t>“</w:t>
      </w:r>
      <w:r>
        <w:rPr>
          <w:rFonts w:ascii="Times New Roman" w:hAnsi="Times New Roman"/>
          <w:color w:val="0E101A"/>
        </w:rPr>
        <w:t xml:space="preserve">Reduction in Forebrain Parenchymal and Cortical </w:t>
      </w:r>
      <w:r>
        <w:rPr>
          <w:rFonts w:ascii="Times New Roman" w:hAnsi="Times New Roman"/>
          <w:color w:val="0E101A"/>
        </w:rPr>
        <w:t>Grey Matter Swelling across Treatment Groups in Patients with Inflammatory Illness Acquired Following Exposure to Water-Damaged Buildings.</w:t>
      </w:r>
      <w:r>
        <w:rPr>
          <w:rFonts w:ascii="Times New Roman" w:hAnsi="Times New Roman"/>
          <w:color w:val="0E101A"/>
        </w:rPr>
        <w:t xml:space="preserve">” </w:t>
      </w:r>
      <w:r>
        <w:rPr>
          <w:rStyle w:val="None"/>
          <w:rFonts w:ascii="Times New Roman" w:hAnsi="Times New Roman"/>
          <w:i/>
          <w:iCs/>
          <w:color w:val="0E101A"/>
        </w:rPr>
        <w:t>Journal of Neuroscience and Clinical Research</w:t>
      </w:r>
      <w:r>
        <w:rPr>
          <w:rFonts w:ascii="Times New Roman" w:hAnsi="Times New Roman"/>
          <w:color w:val="0E101A"/>
        </w:rPr>
        <w:t xml:space="preserve"> 1 (2016): 1</w:t>
      </w:r>
      <w:r>
        <w:rPr>
          <w:rFonts w:ascii="Times New Roman" w:hAnsi="Times New Roman"/>
          <w:color w:val="0E101A"/>
        </w:rPr>
        <w:t>–</w:t>
      </w:r>
      <w:r>
        <w:rPr>
          <w:rFonts w:ascii="Times New Roman" w:hAnsi="Times New Roman"/>
          <w:color w:val="0E101A"/>
        </w:rPr>
        <w:t>4.</w:t>
      </w:r>
    </w:p>
    <w:p w14:paraId="0DBEEFA4"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Shoemaker, Ritchie. </w:t>
      </w:r>
      <w:r>
        <w:rPr>
          <w:rFonts w:ascii="Times New Roman" w:hAnsi="Times New Roman"/>
          <w:color w:val="0E101A"/>
          <w:rtl/>
          <w:lang w:val="ar-SA"/>
        </w:rPr>
        <w:t>“</w:t>
      </w:r>
      <w:r>
        <w:rPr>
          <w:rFonts w:ascii="Times New Roman" w:hAnsi="Times New Roman"/>
          <w:color w:val="0E101A"/>
        </w:rPr>
        <w:t xml:space="preserve">Intranasal VIP Safely </w:t>
      </w:r>
      <w:r>
        <w:rPr>
          <w:rFonts w:ascii="Times New Roman" w:hAnsi="Times New Roman"/>
          <w:color w:val="0E101A"/>
        </w:rPr>
        <w:t>Restores Volume to Multiple Grey Matter Nuclei in Patients with CIRS.</w:t>
      </w:r>
      <w:r>
        <w:rPr>
          <w:rFonts w:ascii="Times New Roman" w:hAnsi="Times New Roman"/>
          <w:color w:val="0E101A"/>
        </w:rPr>
        <w:t xml:space="preserve">” </w:t>
      </w:r>
      <w:r>
        <w:rPr>
          <w:rStyle w:val="None"/>
          <w:rFonts w:ascii="Times New Roman" w:hAnsi="Times New Roman"/>
          <w:i/>
          <w:iCs/>
          <w:color w:val="0E101A"/>
        </w:rPr>
        <w:t>Internal Medicine Review</w:t>
      </w:r>
      <w:r>
        <w:rPr>
          <w:rFonts w:ascii="Times New Roman" w:hAnsi="Times New Roman"/>
          <w:color w:val="0E101A"/>
          <w:lang w:val="pt-PT"/>
        </w:rPr>
        <w:t xml:space="preserve"> 3, no. 4 (2017). https://doi.org/10.18103/imr.v3i4.412.</w:t>
      </w:r>
    </w:p>
    <w:p w14:paraId="70FC1674"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Shoemaker, R., and J. Ryan. A Gene Primer for Health Care Providers: The Genomics of CIRS and </w:t>
      </w:r>
      <w:r>
        <w:rPr>
          <w:rFonts w:ascii="Times New Roman" w:hAnsi="Times New Roman"/>
          <w:color w:val="0E101A"/>
        </w:rPr>
        <w:t>Associated Molecular Pathways: Interpreting the Transcriptomics Results. Ebook, 2018.</w:t>
      </w:r>
    </w:p>
    <w:p w14:paraId="11F662F8"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Vander Heiden, Matthew G., Lewis C. Cantley, and Craig B. Thompson. </w:t>
      </w:r>
      <w:r>
        <w:rPr>
          <w:rFonts w:ascii="Times New Roman" w:hAnsi="Times New Roman"/>
          <w:color w:val="0E101A"/>
          <w:rtl/>
          <w:lang w:val="ar-SA"/>
        </w:rPr>
        <w:t>“</w:t>
      </w:r>
      <w:r>
        <w:rPr>
          <w:rFonts w:ascii="Times New Roman" w:hAnsi="Times New Roman"/>
          <w:color w:val="0E101A"/>
        </w:rPr>
        <w:t>Understanding the Warburg Effect: The Metabolic Requirements of Cell Proliferation.</w:t>
      </w:r>
      <w:r>
        <w:rPr>
          <w:rFonts w:ascii="Times New Roman" w:hAnsi="Times New Roman"/>
          <w:color w:val="0E101A"/>
        </w:rPr>
        <w:t xml:space="preserve">” </w:t>
      </w:r>
      <w:r>
        <w:rPr>
          <w:rStyle w:val="None"/>
          <w:rFonts w:ascii="Times New Roman" w:hAnsi="Times New Roman"/>
          <w:i/>
          <w:iCs/>
          <w:color w:val="0E101A"/>
        </w:rPr>
        <w:t>Science</w:t>
      </w:r>
      <w:r>
        <w:rPr>
          <w:rFonts w:ascii="Times New Roman" w:hAnsi="Times New Roman"/>
          <w:color w:val="0E101A"/>
        </w:rPr>
        <w:t xml:space="preserve"> 324, no. 5930 (2009): 1029</w:t>
      </w:r>
      <w:r>
        <w:rPr>
          <w:rFonts w:ascii="Times New Roman" w:hAnsi="Times New Roman"/>
          <w:color w:val="0E101A"/>
        </w:rPr>
        <w:t>–</w:t>
      </w:r>
      <w:r>
        <w:rPr>
          <w:rFonts w:ascii="Times New Roman" w:hAnsi="Times New Roman"/>
          <w:color w:val="0E101A"/>
        </w:rPr>
        <w:t>33. https://doi.org/10.1126/science.1160809.</w:t>
      </w:r>
    </w:p>
    <w:p w14:paraId="343F7D44" w14:textId="77777777" w:rsidR="002F1423" w:rsidRDefault="00927F0D">
      <w:pPr>
        <w:pStyle w:val="Default"/>
        <w:numPr>
          <w:ilvl w:val="0"/>
          <w:numId w:val="2"/>
        </w:numPr>
        <w:spacing w:before="0" w:line="240" w:lineRule="auto"/>
        <w:rPr>
          <w:rFonts w:ascii="Times New Roman" w:hAnsi="Times New Roman"/>
          <w:color w:val="0E101A"/>
          <w:lang w:val="nl-NL"/>
        </w:rPr>
      </w:pPr>
      <w:r>
        <w:rPr>
          <w:rFonts w:ascii="Times New Roman" w:hAnsi="Times New Roman"/>
          <w:color w:val="0E101A"/>
          <w:lang w:val="nl-NL"/>
        </w:rPr>
        <w:t xml:space="preserve">van Beek, Hans. </w:t>
      </w:r>
      <w:r>
        <w:rPr>
          <w:rFonts w:ascii="Times New Roman" w:hAnsi="Times New Roman"/>
          <w:color w:val="0E101A"/>
          <w:rtl/>
          <w:lang w:val="ar-SA"/>
        </w:rPr>
        <w:t>“</w:t>
      </w:r>
      <w:r>
        <w:rPr>
          <w:rFonts w:ascii="Times New Roman" w:hAnsi="Times New Roman"/>
          <w:color w:val="0E101A"/>
        </w:rPr>
        <w:t>Faculty Opinions Recommendation of Genome-Scale Metabolic Modeling Elucidates the Role of Proliferative Adaptation in Causing the Warburg Effect.</w:t>
      </w:r>
      <w:r>
        <w:rPr>
          <w:rFonts w:ascii="Times New Roman" w:hAnsi="Times New Roman"/>
          <w:color w:val="0E101A"/>
        </w:rPr>
        <w:t xml:space="preserve">” </w:t>
      </w:r>
      <w:r>
        <w:rPr>
          <w:rStyle w:val="None"/>
          <w:rFonts w:ascii="Times New Roman" w:hAnsi="Times New Roman"/>
          <w:i/>
          <w:iCs/>
          <w:color w:val="0E101A"/>
        </w:rPr>
        <w:t xml:space="preserve">Faculty Opinions </w:t>
      </w:r>
      <w:r>
        <w:rPr>
          <w:rStyle w:val="None"/>
          <w:rFonts w:ascii="Times New Roman" w:hAnsi="Times New Roman"/>
          <w:i/>
          <w:iCs/>
          <w:color w:val="0E101A"/>
        </w:rPr>
        <w:t xml:space="preserve">– </w:t>
      </w:r>
      <w:r>
        <w:rPr>
          <w:rStyle w:val="None"/>
          <w:rFonts w:ascii="Times New Roman" w:hAnsi="Times New Roman"/>
          <w:i/>
          <w:iCs/>
          <w:color w:val="0E101A"/>
        </w:rPr>
        <w:t>Post-Publication Peer Review of the Biomedical Literature</w:t>
      </w:r>
      <w:r>
        <w:rPr>
          <w:rFonts w:ascii="Times New Roman" w:hAnsi="Times New Roman"/>
          <w:color w:val="0E101A"/>
        </w:rPr>
        <w:t xml:space="preserve">, 2011. https://doi.org/10.3410/f.13357132.14726450. </w:t>
      </w:r>
    </w:p>
    <w:p w14:paraId="02B563E3"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 </w:t>
      </w:r>
      <w:r>
        <w:rPr>
          <w:rFonts w:ascii="Times New Roman" w:hAnsi="Times New Roman"/>
          <w:color w:val="0E101A"/>
        </w:rPr>
        <w:t>C</w:t>
      </w:r>
      <w:r>
        <w:rPr>
          <w:rFonts w:ascii="Times New Roman" w:hAnsi="Times New Roman"/>
          <w:color w:val="0E101A"/>
          <w:lang w:val="fr-FR"/>
        </w:rPr>
        <w:t>é</w:t>
      </w:r>
      <w:r>
        <w:rPr>
          <w:rFonts w:ascii="Times New Roman" w:hAnsi="Times New Roman"/>
          <w:color w:val="0E101A"/>
          <w:lang w:val="pt-PT"/>
        </w:rPr>
        <w:t>sar Rosa, Jos</w:t>
      </w:r>
      <w:r>
        <w:rPr>
          <w:rFonts w:ascii="Times New Roman" w:hAnsi="Times New Roman"/>
          <w:color w:val="0E101A"/>
          <w:lang w:val="fr-FR"/>
        </w:rPr>
        <w:t>é</w:t>
      </w:r>
      <w:r>
        <w:rPr>
          <w:rFonts w:ascii="Times New Roman" w:hAnsi="Times New Roman"/>
          <w:color w:val="0E101A"/>
          <w:lang w:val="pt-PT"/>
        </w:rPr>
        <w:t>, and Marcelo de Cerqueira C</w:t>
      </w:r>
      <w:r>
        <w:rPr>
          <w:rFonts w:ascii="Times New Roman" w:hAnsi="Times New Roman"/>
          <w:color w:val="0E101A"/>
          <w:lang w:val="fr-FR"/>
        </w:rPr>
        <w:t>é</w:t>
      </w:r>
      <w:r>
        <w:rPr>
          <w:rFonts w:ascii="Times New Roman" w:hAnsi="Times New Roman"/>
          <w:color w:val="0E101A"/>
        </w:rPr>
        <w:t xml:space="preserve">sar. </w:t>
      </w:r>
      <w:r>
        <w:rPr>
          <w:rFonts w:ascii="Times New Roman" w:hAnsi="Times New Roman"/>
          <w:color w:val="0E101A"/>
          <w:rtl/>
          <w:lang w:val="ar-SA"/>
        </w:rPr>
        <w:t>“</w:t>
      </w:r>
      <w:r>
        <w:rPr>
          <w:rFonts w:ascii="Times New Roman" w:hAnsi="Times New Roman"/>
          <w:color w:val="0E101A"/>
        </w:rPr>
        <w:t>Role of Hexokinase and VDAC in Neurological Disorders.</w:t>
      </w:r>
      <w:r>
        <w:rPr>
          <w:rFonts w:ascii="Times New Roman" w:hAnsi="Times New Roman"/>
          <w:color w:val="0E101A"/>
        </w:rPr>
        <w:t xml:space="preserve">” </w:t>
      </w:r>
      <w:r>
        <w:rPr>
          <w:rStyle w:val="None"/>
          <w:rFonts w:ascii="Times New Roman" w:hAnsi="Times New Roman"/>
          <w:i/>
          <w:iCs/>
          <w:color w:val="0E101A"/>
          <w:lang w:val="it-IT"/>
        </w:rPr>
        <w:t xml:space="preserve">Current </w:t>
      </w:r>
      <w:r>
        <w:rPr>
          <w:rStyle w:val="None"/>
          <w:rFonts w:ascii="Times New Roman" w:hAnsi="Times New Roman"/>
          <w:i/>
          <w:iCs/>
          <w:color w:val="0E101A"/>
          <w:lang w:val="it-IT"/>
        </w:rPr>
        <w:t>Molecular Pharmacology</w:t>
      </w:r>
      <w:r>
        <w:rPr>
          <w:rFonts w:ascii="Times New Roman" w:hAnsi="Times New Roman"/>
          <w:color w:val="0E101A"/>
        </w:rPr>
        <w:t xml:space="preserve"> 9, no. 4 (2016): 320</w:t>
      </w:r>
      <w:r>
        <w:rPr>
          <w:rFonts w:ascii="Times New Roman" w:hAnsi="Times New Roman"/>
          <w:color w:val="0E101A"/>
        </w:rPr>
        <w:t>–</w:t>
      </w:r>
      <w:r>
        <w:rPr>
          <w:rFonts w:ascii="Times New Roman" w:hAnsi="Times New Roman"/>
          <w:color w:val="0E101A"/>
        </w:rPr>
        <w:t>31. https://doi.org/10.2174/1874467209666160112123036.</w:t>
      </w:r>
    </w:p>
    <w:p w14:paraId="03C5A833" w14:textId="77777777" w:rsidR="002F1423" w:rsidRDefault="00927F0D">
      <w:pPr>
        <w:pStyle w:val="Default"/>
        <w:numPr>
          <w:ilvl w:val="0"/>
          <w:numId w:val="2"/>
        </w:numPr>
        <w:spacing w:before="0" w:line="240" w:lineRule="auto"/>
        <w:rPr>
          <w:rFonts w:ascii="Times New Roman" w:hAnsi="Times New Roman"/>
          <w:color w:val="0E101A"/>
          <w:lang w:val="de-DE"/>
        </w:rPr>
      </w:pPr>
      <w:r>
        <w:rPr>
          <w:rFonts w:ascii="Times New Roman" w:hAnsi="Times New Roman"/>
          <w:color w:val="0E101A"/>
          <w:lang w:val="de-DE"/>
        </w:rPr>
        <w:t xml:space="preserve">Kuehn, Bridget M. </w:t>
      </w:r>
      <w:r>
        <w:rPr>
          <w:rFonts w:ascii="Times New Roman" w:hAnsi="Times New Roman"/>
          <w:color w:val="0E101A"/>
          <w:rtl/>
          <w:lang w:val="ar-SA"/>
        </w:rPr>
        <w:t>“</w:t>
      </w:r>
      <w:r>
        <w:rPr>
          <w:rFonts w:ascii="Times New Roman" w:hAnsi="Times New Roman"/>
          <w:color w:val="0E101A"/>
        </w:rPr>
        <w:t>In Alzheimer Research, Glucose Metabolism Moves to Center Stage.</w:t>
      </w:r>
      <w:r>
        <w:rPr>
          <w:rFonts w:ascii="Times New Roman" w:hAnsi="Times New Roman"/>
          <w:color w:val="0E101A"/>
        </w:rPr>
        <w:t xml:space="preserve">” </w:t>
      </w:r>
      <w:r>
        <w:rPr>
          <w:rStyle w:val="None"/>
          <w:rFonts w:ascii="Times New Roman" w:hAnsi="Times New Roman"/>
          <w:i/>
          <w:iCs/>
          <w:color w:val="0E101A"/>
          <w:lang w:val="de-DE"/>
        </w:rPr>
        <w:t>JAMA</w:t>
      </w:r>
      <w:r>
        <w:rPr>
          <w:rFonts w:ascii="Times New Roman" w:hAnsi="Times New Roman"/>
          <w:color w:val="0E101A"/>
          <w:lang w:val="pt-PT"/>
        </w:rPr>
        <w:t xml:space="preserve"> 323, no. 4 (2020): 297. https://doi.org/10.1001/jama.2019.20939.</w:t>
      </w:r>
    </w:p>
    <w:p w14:paraId="50D270DD"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Wu, Long, Xin Zhang, and Liqin Zhao. </w:t>
      </w:r>
      <w:r>
        <w:rPr>
          <w:rFonts w:ascii="Times New Roman" w:hAnsi="Times New Roman"/>
          <w:color w:val="0E101A"/>
          <w:rtl/>
          <w:lang w:val="ar-SA"/>
        </w:rPr>
        <w:t>“</w:t>
      </w:r>
      <w:r>
        <w:rPr>
          <w:rFonts w:ascii="Times New Roman" w:hAnsi="Times New Roman"/>
          <w:color w:val="0E101A"/>
        </w:rPr>
        <w:t xml:space="preserve">Human ApoE Isoforms Differentially Modulate Brain Glucose and Ketone Body Metabolism: Implications for Alzheimer's Disease Risk Reduction and Early </w:t>
      </w:r>
      <w:r>
        <w:rPr>
          <w:rFonts w:ascii="Times New Roman" w:hAnsi="Times New Roman"/>
          <w:color w:val="0E101A"/>
        </w:rPr>
        <w:t>Intervention.</w:t>
      </w:r>
      <w:r>
        <w:rPr>
          <w:rFonts w:ascii="Times New Roman" w:hAnsi="Times New Roman"/>
          <w:color w:val="0E101A"/>
        </w:rPr>
        <w:t xml:space="preserve">” </w:t>
      </w:r>
      <w:r>
        <w:rPr>
          <w:rStyle w:val="None"/>
          <w:rFonts w:ascii="Times New Roman" w:hAnsi="Times New Roman"/>
          <w:i/>
          <w:iCs/>
          <w:color w:val="0E101A"/>
        </w:rPr>
        <w:t>The Journal of Neuroscience</w:t>
      </w:r>
      <w:r>
        <w:rPr>
          <w:rFonts w:ascii="Times New Roman" w:hAnsi="Times New Roman"/>
          <w:color w:val="0E101A"/>
        </w:rPr>
        <w:t xml:space="preserve"> 38, no. 30 (2018): 6665</w:t>
      </w:r>
      <w:r>
        <w:rPr>
          <w:rFonts w:ascii="Times New Roman" w:hAnsi="Times New Roman"/>
          <w:color w:val="0E101A"/>
        </w:rPr>
        <w:t>–</w:t>
      </w:r>
      <w:r>
        <w:rPr>
          <w:rFonts w:ascii="Times New Roman" w:hAnsi="Times New Roman"/>
          <w:color w:val="0E101A"/>
          <w:lang w:val="pt-PT"/>
        </w:rPr>
        <w:t>81. https://doi.org/10.1523/jneurosci.2262-17.2018.</w:t>
      </w:r>
    </w:p>
    <w:p w14:paraId="3440B1EE"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Ryan, John J., and Stephen L. Archer. </w:t>
      </w:r>
      <w:r>
        <w:rPr>
          <w:rFonts w:ascii="Times New Roman" w:hAnsi="Times New Roman"/>
          <w:color w:val="0E101A"/>
          <w:rtl/>
          <w:lang w:val="ar-SA"/>
        </w:rPr>
        <w:t>“</w:t>
      </w:r>
      <w:r>
        <w:rPr>
          <w:rFonts w:ascii="Times New Roman" w:hAnsi="Times New Roman"/>
          <w:color w:val="0E101A"/>
        </w:rPr>
        <w:t>Emerging Concepts in the Molecular Basis of Pulmonary Arterial Hypertension.</w:t>
      </w:r>
      <w:r>
        <w:rPr>
          <w:rFonts w:ascii="Times New Roman" w:hAnsi="Times New Roman"/>
          <w:color w:val="0E101A"/>
        </w:rPr>
        <w:t xml:space="preserve">” </w:t>
      </w:r>
      <w:r>
        <w:rPr>
          <w:rStyle w:val="None"/>
          <w:rFonts w:ascii="Times New Roman" w:hAnsi="Times New Roman"/>
          <w:i/>
          <w:iCs/>
          <w:color w:val="0E101A"/>
          <w:lang w:val="fr-FR"/>
        </w:rPr>
        <w:t>Circulation</w:t>
      </w:r>
      <w:r>
        <w:rPr>
          <w:rFonts w:ascii="Times New Roman" w:hAnsi="Times New Roman"/>
          <w:color w:val="0E101A"/>
        </w:rPr>
        <w:t xml:space="preserve"> 131, no. 19 (2015): 1691</w:t>
      </w:r>
      <w:r>
        <w:rPr>
          <w:rFonts w:ascii="Times New Roman" w:hAnsi="Times New Roman"/>
          <w:color w:val="0E101A"/>
        </w:rPr>
        <w:t>–</w:t>
      </w:r>
      <w:r>
        <w:rPr>
          <w:rFonts w:ascii="Times New Roman" w:hAnsi="Times New Roman"/>
          <w:color w:val="0E101A"/>
        </w:rPr>
        <w:t>1702. https://doi.org/10.1161/circulationaha.114.006979.</w:t>
      </w:r>
    </w:p>
    <w:p w14:paraId="30F6D858" w14:textId="77777777" w:rsidR="002F1423" w:rsidRDefault="00927F0D">
      <w:pPr>
        <w:pStyle w:val="Default"/>
        <w:numPr>
          <w:ilvl w:val="0"/>
          <w:numId w:val="2"/>
        </w:numPr>
        <w:spacing w:before="0" w:line="240" w:lineRule="auto"/>
        <w:rPr>
          <w:rFonts w:ascii="Times New Roman" w:hAnsi="Times New Roman"/>
          <w:color w:val="0E101A"/>
          <w:lang w:val="de-DE"/>
        </w:rPr>
      </w:pPr>
      <w:r>
        <w:rPr>
          <w:rFonts w:ascii="Times New Roman" w:hAnsi="Times New Roman"/>
          <w:color w:val="0E101A"/>
          <w:lang w:val="de-DE"/>
        </w:rPr>
        <w:t>Archer, Stephen L., Yong</w:t>
      </w:r>
      <w:r>
        <w:rPr>
          <w:rFonts w:ascii="Times New Roman" w:hAnsi="Times New Roman"/>
          <w:color w:val="0E101A"/>
        </w:rPr>
        <w:t>‐</w:t>
      </w:r>
      <w:r>
        <w:rPr>
          <w:rFonts w:ascii="Times New Roman" w:hAnsi="Times New Roman"/>
          <w:color w:val="0E101A"/>
        </w:rPr>
        <w:t xml:space="preserve">Hu Fang, John J. Ryan, and Lin Piao. </w:t>
      </w:r>
      <w:r>
        <w:rPr>
          <w:rFonts w:ascii="Times New Roman" w:hAnsi="Times New Roman"/>
          <w:color w:val="0E101A"/>
          <w:rtl/>
          <w:lang w:val="ar-SA"/>
        </w:rPr>
        <w:t>“</w:t>
      </w:r>
      <w:r>
        <w:rPr>
          <w:rFonts w:ascii="Times New Roman" w:hAnsi="Times New Roman"/>
          <w:color w:val="0E101A"/>
        </w:rPr>
        <w:t xml:space="preserve">Metabolism and Bioenergetics in the Right Ventricle and Pulmonary Vasculature in Pulmonary </w:t>
      </w:r>
      <w:r>
        <w:rPr>
          <w:rFonts w:ascii="Times New Roman" w:hAnsi="Times New Roman"/>
          <w:color w:val="0E101A"/>
        </w:rPr>
        <w:t>Hypertension.</w:t>
      </w:r>
      <w:r>
        <w:rPr>
          <w:rFonts w:ascii="Times New Roman" w:hAnsi="Times New Roman"/>
          <w:color w:val="0E101A"/>
        </w:rPr>
        <w:t xml:space="preserve">” </w:t>
      </w:r>
      <w:r>
        <w:rPr>
          <w:rStyle w:val="None"/>
          <w:rFonts w:ascii="Times New Roman" w:hAnsi="Times New Roman"/>
          <w:i/>
          <w:iCs/>
          <w:color w:val="0E101A"/>
        </w:rPr>
        <w:t>Pulmonary Circulation</w:t>
      </w:r>
      <w:r>
        <w:rPr>
          <w:rFonts w:ascii="Times New Roman" w:hAnsi="Times New Roman"/>
          <w:color w:val="0E101A"/>
        </w:rPr>
        <w:t xml:space="preserve"> 3, no. 1 (2013): 144</w:t>
      </w:r>
      <w:r>
        <w:rPr>
          <w:rFonts w:ascii="Times New Roman" w:hAnsi="Times New Roman"/>
          <w:color w:val="0E101A"/>
        </w:rPr>
        <w:t>–</w:t>
      </w:r>
      <w:r>
        <w:rPr>
          <w:rFonts w:ascii="Times New Roman" w:hAnsi="Times New Roman"/>
          <w:color w:val="0E101A"/>
        </w:rPr>
        <w:t>52. https://doi.org/10.4103/2045-8932.109960.</w:t>
      </w:r>
    </w:p>
    <w:p w14:paraId="08D67C7E"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Paulin, Roxane, and Evangelos D. Michelakis. </w:t>
      </w:r>
      <w:r>
        <w:rPr>
          <w:rFonts w:ascii="Times New Roman" w:hAnsi="Times New Roman"/>
          <w:color w:val="0E101A"/>
          <w:rtl/>
          <w:lang w:val="ar-SA"/>
        </w:rPr>
        <w:t>“</w:t>
      </w:r>
      <w:r>
        <w:rPr>
          <w:rFonts w:ascii="Times New Roman" w:hAnsi="Times New Roman"/>
          <w:color w:val="0E101A"/>
        </w:rPr>
        <w:t>The Metabolic Theory of Pulmonary Arterial Hypertension.</w:t>
      </w:r>
      <w:r>
        <w:rPr>
          <w:rFonts w:ascii="Times New Roman" w:hAnsi="Times New Roman"/>
          <w:color w:val="0E101A"/>
        </w:rPr>
        <w:t xml:space="preserve">” </w:t>
      </w:r>
      <w:r>
        <w:rPr>
          <w:rStyle w:val="None"/>
          <w:rFonts w:ascii="Times New Roman" w:hAnsi="Times New Roman"/>
          <w:i/>
          <w:iCs/>
          <w:color w:val="0E101A"/>
        </w:rPr>
        <w:t>Circulation Research</w:t>
      </w:r>
      <w:r>
        <w:rPr>
          <w:rFonts w:ascii="Times New Roman" w:hAnsi="Times New Roman"/>
          <w:color w:val="0E101A"/>
        </w:rPr>
        <w:t xml:space="preserve"> 115, no. 1 (2014): 148</w:t>
      </w:r>
      <w:r>
        <w:rPr>
          <w:rFonts w:ascii="Times New Roman" w:hAnsi="Times New Roman"/>
          <w:color w:val="0E101A"/>
        </w:rPr>
        <w:t>–</w:t>
      </w:r>
      <w:r>
        <w:rPr>
          <w:rFonts w:ascii="Times New Roman" w:hAnsi="Times New Roman"/>
          <w:color w:val="0E101A"/>
          <w:lang w:val="fr-FR"/>
        </w:rPr>
        <w:t>64. https://doi.org/10.1161/circresaha.115.301130.</w:t>
      </w:r>
      <w:r>
        <w:rPr>
          <w:rFonts w:ascii="Times New Roman" w:hAnsi="Times New Roman"/>
          <w:color w:val="0E101A"/>
        </w:rPr>
        <w:t xml:space="preserve"> </w:t>
      </w:r>
    </w:p>
    <w:p w14:paraId="27729D0E"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Dromparis, Peter, Gopinath Sutendra, and Evangelos D. Michelakis. </w:t>
      </w:r>
      <w:r>
        <w:rPr>
          <w:rFonts w:ascii="Times New Roman" w:hAnsi="Times New Roman"/>
          <w:color w:val="0E101A"/>
          <w:rtl/>
          <w:lang w:val="ar-SA"/>
        </w:rPr>
        <w:t>“</w:t>
      </w:r>
      <w:r>
        <w:rPr>
          <w:rFonts w:ascii="Times New Roman" w:hAnsi="Times New Roman"/>
          <w:color w:val="0E101A"/>
        </w:rPr>
        <w:t>The Role of Mitochondria in Pulmonary Vascular Remodeling.</w:t>
      </w:r>
      <w:r>
        <w:rPr>
          <w:rFonts w:ascii="Times New Roman" w:hAnsi="Times New Roman"/>
          <w:color w:val="0E101A"/>
        </w:rPr>
        <w:t xml:space="preserve">” </w:t>
      </w:r>
      <w:r>
        <w:rPr>
          <w:rStyle w:val="None"/>
          <w:rFonts w:ascii="Times New Roman" w:hAnsi="Times New Roman"/>
          <w:i/>
          <w:iCs/>
          <w:color w:val="0E101A"/>
        </w:rPr>
        <w:t>Journal of Molecular Medicine</w:t>
      </w:r>
      <w:r>
        <w:rPr>
          <w:rFonts w:ascii="Times New Roman" w:hAnsi="Times New Roman"/>
          <w:color w:val="0E101A"/>
        </w:rPr>
        <w:t xml:space="preserve"> 88, no. 10 (2010): 1003</w:t>
      </w:r>
      <w:r>
        <w:rPr>
          <w:rFonts w:ascii="Times New Roman" w:hAnsi="Times New Roman"/>
          <w:color w:val="0E101A"/>
        </w:rPr>
        <w:t>–</w:t>
      </w:r>
      <w:r>
        <w:rPr>
          <w:rFonts w:ascii="Times New Roman" w:hAnsi="Times New Roman"/>
          <w:color w:val="0E101A"/>
        </w:rPr>
        <w:t>10. https://doi.org/10.1007/s00109-010-0670-x.</w:t>
      </w:r>
    </w:p>
    <w:p w14:paraId="72FFED29"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Tuder, Rubin M., Laura A. Davis, and Brian B. Graham. </w:t>
      </w:r>
      <w:r>
        <w:rPr>
          <w:rFonts w:ascii="Times New Roman" w:hAnsi="Times New Roman"/>
          <w:color w:val="0E101A"/>
          <w:rtl/>
          <w:lang w:val="ar-SA"/>
        </w:rPr>
        <w:t>“</w:t>
      </w:r>
      <w:r>
        <w:rPr>
          <w:rFonts w:ascii="Times New Roman" w:hAnsi="Times New Roman"/>
          <w:color w:val="0E101A"/>
        </w:rPr>
        <w:t>Targeting Energetic Metabolism.</w:t>
      </w:r>
      <w:r>
        <w:rPr>
          <w:rFonts w:ascii="Times New Roman" w:hAnsi="Times New Roman"/>
          <w:color w:val="0E101A"/>
        </w:rPr>
        <w:t xml:space="preserve">” </w:t>
      </w:r>
      <w:r>
        <w:rPr>
          <w:rStyle w:val="None"/>
          <w:rFonts w:ascii="Times New Roman" w:hAnsi="Times New Roman"/>
          <w:i/>
          <w:iCs/>
          <w:color w:val="0E101A"/>
        </w:rPr>
        <w:t>American Journal of Respiratory and Critical Care Medicine</w:t>
      </w:r>
      <w:r>
        <w:rPr>
          <w:rFonts w:ascii="Times New Roman" w:hAnsi="Times New Roman"/>
          <w:color w:val="0E101A"/>
        </w:rPr>
        <w:t xml:space="preserve"> 185, no. 3 (2012): 260</w:t>
      </w:r>
      <w:r>
        <w:rPr>
          <w:rFonts w:ascii="Times New Roman" w:hAnsi="Times New Roman"/>
          <w:color w:val="0E101A"/>
        </w:rPr>
        <w:t>–</w:t>
      </w:r>
      <w:r>
        <w:rPr>
          <w:rFonts w:ascii="Times New Roman" w:hAnsi="Times New Roman"/>
          <w:color w:val="0E101A"/>
        </w:rPr>
        <w:t>66. https://doi.org/10.1164/rccm.201108-1536pp.</w:t>
      </w:r>
    </w:p>
    <w:p w14:paraId="5F3A3E3F" w14:textId="77777777" w:rsidR="002F1423" w:rsidRDefault="00927F0D">
      <w:pPr>
        <w:pStyle w:val="Default"/>
        <w:numPr>
          <w:ilvl w:val="0"/>
          <w:numId w:val="2"/>
        </w:numPr>
        <w:spacing w:before="0" w:line="240" w:lineRule="auto"/>
        <w:rPr>
          <w:rFonts w:ascii="Times New Roman" w:hAnsi="Times New Roman"/>
          <w:color w:val="0E101A"/>
          <w:lang w:val="de-DE"/>
        </w:rPr>
      </w:pPr>
      <w:r>
        <w:rPr>
          <w:rFonts w:ascii="Times New Roman" w:hAnsi="Times New Roman"/>
          <w:color w:val="0E101A"/>
          <w:lang w:val="de-DE"/>
        </w:rPr>
        <w:t xml:space="preserve">Shoshan-Barmatz, Varda, Nurit Keinan, and Hilal Zaid. </w:t>
      </w:r>
      <w:r>
        <w:rPr>
          <w:rFonts w:ascii="Times New Roman" w:hAnsi="Times New Roman"/>
          <w:color w:val="0E101A"/>
          <w:rtl/>
          <w:lang w:val="ar-SA"/>
        </w:rPr>
        <w:t>“</w:t>
      </w:r>
      <w:r>
        <w:rPr>
          <w:rFonts w:ascii="Times New Roman" w:hAnsi="Times New Roman"/>
          <w:color w:val="0E101A"/>
        </w:rPr>
        <w:t>Uncovering the Role of VDAC in the Regulation of Cell Life and Death.</w:t>
      </w:r>
      <w:r>
        <w:rPr>
          <w:rFonts w:ascii="Times New Roman" w:hAnsi="Times New Roman"/>
          <w:color w:val="0E101A"/>
        </w:rPr>
        <w:t xml:space="preserve">” </w:t>
      </w:r>
      <w:r>
        <w:rPr>
          <w:rStyle w:val="None"/>
          <w:rFonts w:ascii="Times New Roman" w:hAnsi="Times New Roman"/>
          <w:i/>
          <w:iCs/>
          <w:color w:val="0E101A"/>
        </w:rPr>
        <w:t>Journal of Bioenergetics and Biomembranes</w:t>
      </w:r>
      <w:r>
        <w:rPr>
          <w:rFonts w:ascii="Times New Roman" w:hAnsi="Times New Roman"/>
          <w:color w:val="0E101A"/>
        </w:rPr>
        <w:t xml:space="preserve"> 40, no. 3 (2008): 183</w:t>
      </w:r>
      <w:r>
        <w:rPr>
          <w:rFonts w:ascii="Times New Roman" w:hAnsi="Times New Roman"/>
          <w:color w:val="0E101A"/>
        </w:rPr>
        <w:t>–</w:t>
      </w:r>
      <w:r>
        <w:rPr>
          <w:rFonts w:ascii="Times New Roman" w:hAnsi="Times New Roman"/>
          <w:color w:val="0E101A"/>
        </w:rPr>
        <w:t>91. https://doi.org/10.1007/s10863-008-9147-9.</w:t>
      </w:r>
    </w:p>
    <w:p w14:paraId="5872D692"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Heslop, K.A., A. Rovini, E.G. Hunt, D. Fang, M.E. Morris, C.F. Christie, M.B. Gooz, et al. </w:t>
      </w:r>
      <w:r>
        <w:rPr>
          <w:rFonts w:ascii="Times New Roman" w:hAnsi="Times New Roman"/>
          <w:color w:val="0E101A"/>
          <w:rtl/>
          <w:lang w:val="ar-SA"/>
        </w:rPr>
        <w:t>“</w:t>
      </w:r>
      <w:r>
        <w:rPr>
          <w:rFonts w:ascii="Times New Roman" w:hAnsi="Times New Roman"/>
          <w:color w:val="0E101A"/>
        </w:rPr>
        <w:t xml:space="preserve">JNK Activation and Translocation to Mitochondria Mediates Mitochondrial Dysfunction and </w:t>
      </w:r>
      <w:r>
        <w:rPr>
          <w:rFonts w:ascii="Times New Roman" w:hAnsi="Times New Roman"/>
          <w:color w:val="0E101A"/>
        </w:rPr>
        <w:t>Cell Death Induced by VDAC Opening and Sorafenib in Hepatocarcinoma Cells.</w:t>
      </w:r>
      <w:r>
        <w:rPr>
          <w:rFonts w:ascii="Times New Roman" w:hAnsi="Times New Roman"/>
          <w:color w:val="0E101A"/>
        </w:rPr>
        <w:t xml:space="preserve">” </w:t>
      </w:r>
      <w:r>
        <w:rPr>
          <w:rStyle w:val="None"/>
          <w:rFonts w:ascii="Times New Roman" w:hAnsi="Times New Roman"/>
          <w:i/>
          <w:iCs/>
          <w:color w:val="0E101A"/>
          <w:lang w:val="it-IT"/>
        </w:rPr>
        <w:t>Biochemical Pharmacology</w:t>
      </w:r>
      <w:r>
        <w:rPr>
          <w:rFonts w:ascii="Times New Roman" w:hAnsi="Times New Roman"/>
          <w:color w:val="0E101A"/>
        </w:rPr>
        <w:t xml:space="preserve"> 171 (2020): 113728. https://doi.org/10.1016/j.bcp.2019.113728.</w:t>
      </w:r>
    </w:p>
    <w:p w14:paraId="489E7728"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Andersson, M. A., R. Mikkola, R. M. Kroppenstedt, F. A. Rainey, J. Peltola, J. Helin, K. Siv</w:t>
      </w:r>
      <w:r>
        <w:rPr>
          <w:rFonts w:ascii="Times New Roman" w:hAnsi="Times New Roman"/>
          <w:color w:val="0E101A"/>
        </w:rPr>
        <w:t xml:space="preserve">onen, and M. S. Salkinoja-Salonen. </w:t>
      </w:r>
      <w:r>
        <w:rPr>
          <w:rFonts w:ascii="Times New Roman" w:hAnsi="Times New Roman"/>
          <w:color w:val="0E101A"/>
          <w:rtl/>
          <w:lang w:val="ar-SA"/>
        </w:rPr>
        <w:t>“</w:t>
      </w:r>
      <w:r>
        <w:rPr>
          <w:rFonts w:ascii="Times New Roman" w:hAnsi="Times New Roman"/>
          <w:color w:val="0E101A"/>
        </w:rPr>
        <w:t>The Mitochondrial Toxin Produced by Streptomyces Griseus Strains Isolated from an Indoor Environment Is Valinomycin.</w:t>
      </w:r>
      <w:r>
        <w:rPr>
          <w:rFonts w:ascii="Times New Roman" w:hAnsi="Times New Roman"/>
          <w:color w:val="0E101A"/>
        </w:rPr>
        <w:t xml:space="preserve">” </w:t>
      </w:r>
      <w:r>
        <w:rPr>
          <w:rStyle w:val="None"/>
          <w:rFonts w:ascii="Times New Roman" w:hAnsi="Times New Roman"/>
          <w:i/>
          <w:iCs/>
          <w:color w:val="0E101A"/>
        </w:rPr>
        <w:t>Applied and Environmental Microbiology</w:t>
      </w:r>
      <w:r>
        <w:rPr>
          <w:rFonts w:ascii="Times New Roman" w:hAnsi="Times New Roman"/>
          <w:color w:val="0E101A"/>
        </w:rPr>
        <w:t xml:space="preserve"> 64, no. 12 (1998): 4767</w:t>
      </w:r>
      <w:r>
        <w:rPr>
          <w:rFonts w:ascii="Times New Roman" w:hAnsi="Times New Roman"/>
          <w:color w:val="0E101A"/>
        </w:rPr>
        <w:t>–</w:t>
      </w:r>
      <w:r>
        <w:rPr>
          <w:rFonts w:ascii="Times New Roman" w:hAnsi="Times New Roman"/>
          <w:color w:val="0E101A"/>
          <w:lang w:val="pt-PT"/>
        </w:rPr>
        <w:t xml:space="preserve">73. </w:t>
      </w:r>
      <w:r>
        <w:rPr>
          <w:rFonts w:ascii="Times New Roman" w:hAnsi="Times New Roman"/>
          <w:color w:val="0E101A"/>
          <w:lang w:val="pt-PT"/>
        </w:rPr>
        <w:t>https://doi.org/10.1128/aem.64.12.4767-4773.1998.</w:t>
      </w:r>
    </w:p>
    <w:p w14:paraId="024E0464" w14:textId="77777777" w:rsidR="002F1423" w:rsidRDefault="00927F0D">
      <w:pPr>
        <w:pStyle w:val="Default"/>
        <w:numPr>
          <w:ilvl w:val="0"/>
          <w:numId w:val="2"/>
        </w:numPr>
        <w:spacing w:before="0" w:line="240" w:lineRule="auto"/>
        <w:rPr>
          <w:rFonts w:ascii="Times New Roman" w:hAnsi="Times New Roman"/>
          <w:color w:val="0E101A"/>
          <w:lang w:val="pt-PT"/>
        </w:rPr>
      </w:pPr>
      <w:r>
        <w:rPr>
          <w:rFonts w:ascii="Times New Roman" w:hAnsi="Times New Roman"/>
          <w:color w:val="0E101A"/>
          <w:lang w:val="pt-PT"/>
        </w:rPr>
        <w:t xml:space="preserve">DeHart, David N., John J. Lemasters, and Eduardo N. Maldonado. </w:t>
      </w:r>
      <w:r>
        <w:rPr>
          <w:rFonts w:ascii="Times New Roman" w:hAnsi="Times New Roman"/>
          <w:color w:val="0E101A"/>
          <w:rtl/>
          <w:lang w:val="ar-SA"/>
        </w:rPr>
        <w:t>“</w:t>
      </w:r>
      <w:r>
        <w:rPr>
          <w:rFonts w:ascii="Times New Roman" w:hAnsi="Times New Roman"/>
          <w:color w:val="0E101A"/>
        </w:rPr>
        <w:t xml:space="preserve">Erastin-like Anti-Warburg Agents Prevent Mitochondrial Depolarization Induced by Free Tubulin and Decrease Lactate Formation in Cancer </w:t>
      </w:r>
      <w:r>
        <w:rPr>
          <w:rFonts w:ascii="Times New Roman" w:hAnsi="Times New Roman"/>
          <w:color w:val="0E101A"/>
        </w:rPr>
        <w:t>Cells.</w:t>
      </w:r>
      <w:r>
        <w:rPr>
          <w:rFonts w:ascii="Times New Roman" w:hAnsi="Times New Roman"/>
          <w:color w:val="0E101A"/>
        </w:rPr>
        <w:t xml:space="preserve">” </w:t>
      </w:r>
      <w:r>
        <w:rPr>
          <w:rStyle w:val="None"/>
          <w:rFonts w:ascii="Times New Roman" w:hAnsi="Times New Roman"/>
          <w:i/>
          <w:iCs/>
          <w:color w:val="0E101A"/>
        </w:rPr>
        <w:t>SLAS DISCOVERY: Advancing the Science of Drug Discovery</w:t>
      </w:r>
      <w:r>
        <w:rPr>
          <w:rFonts w:ascii="Times New Roman" w:hAnsi="Times New Roman"/>
          <w:color w:val="0E101A"/>
        </w:rPr>
        <w:t xml:space="preserve"> 23, no. 1 (2017): 23</w:t>
      </w:r>
      <w:r>
        <w:rPr>
          <w:rFonts w:ascii="Times New Roman" w:hAnsi="Times New Roman"/>
          <w:color w:val="0E101A"/>
        </w:rPr>
        <w:t>–</w:t>
      </w:r>
      <w:r>
        <w:rPr>
          <w:rFonts w:ascii="Times New Roman" w:hAnsi="Times New Roman"/>
          <w:color w:val="0E101A"/>
        </w:rPr>
        <w:t>33. https://doi.org/10.1177/2472555217731556.</w:t>
      </w:r>
    </w:p>
    <w:p w14:paraId="060B0F0D" w14:textId="77777777" w:rsidR="002F1423" w:rsidRDefault="00927F0D">
      <w:pPr>
        <w:pStyle w:val="Default"/>
        <w:numPr>
          <w:ilvl w:val="0"/>
          <w:numId w:val="2"/>
        </w:numPr>
        <w:spacing w:before="0" w:line="240" w:lineRule="auto"/>
        <w:rPr>
          <w:rFonts w:ascii="Times New Roman" w:hAnsi="Times New Roman"/>
          <w:color w:val="0E101A"/>
          <w:lang w:val="de-DE"/>
        </w:rPr>
      </w:pPr>
      <w:r>
        <w:rPr>
          <w:rFonts w:ascii="Times New Roman" w:hAnsi="Times New Roman"/>
          <w:color w:val="0E101A"/>
          <w:lang w:val="de-DE"/>
        </w:rPr>
        <w:t xml:space="preserve">AZOULAY-ZOHAR, Heftsi, Adrian ISRAELSON, Salah ABU-HAMAD, and Varda SHOSHAN-BARMATZ. </w:t>
      </w:r>
      <w:r>
        <w:rPr>
          <w:rFonts w:ascii="Times New Roman" w:hAnsi="Times New Roman"/>
          <w:color w:val="0E101A"/>
          <w:rtl/>
          <w:lang w:val="ar-SA"/>
        </w:rPr>
        <w:t>“</w:t>
      </w:r>
      <w:r>
        <w:rPr>
          <w:rFonts w:ascii="Times New Roman" w:hAnsi="Times New Roman"/>
          <w:color w:val="0E101A"/>
        </w:rPr>
        <w:t>In Self-Defence: Hexokinase Promotes Voltage-Dependent Anion Channel Closure and Prevents Mitochondria-Mediated Apoptotic Cell Death.</w:t>
      </w:r>
      <w:r>
        <w:rPr>
          <w:rFonts w:ascii="Times New Roman" w:hAnsi="Times New Roman"/>
          <w:color w:val="0E101A"/>
        </w:rPr>
        <w:t xml:space="preserve">” </w:t>
      </w:r>
      <w:r>
        <w:rPr>
          <w:rStyle w:val="None"/>
          <w:rFonts w:ascii="Times New Roman" w:hAnsi="Times New Roman"/>
          <w:i/>
          <w:iCs/>
          <w:color w:val="0E101A"/>
          <w:lang w:val="it-IT"/>
        </w:rPr>
        <w:t>Biochemical Journal</w:t>
      </w:r>
      <w:r>
        <w:rPr>
          <w:rFonts w:ascii="Times New Roman" w:hAnsi="Times New Roman"/>
          <w:color w:val="0E101A"/>
        </w:rPr>
        <w:t xml:space="preserve"> 377, no. 2 (2004): 347</w:t>
      </w:r>
      <w:r>
        <w:rPr>
          <w:rFonts w:ascii="Times New Roman" w:hAnsi="Times New Roman"/>
          <w:color w:val="0E101A"/>
        </w:rPr>
        <w:t>–</w:t>
      </w:r>
      <w:r>
        <w:rPr>
          <w:rFonts w:ascii="Times New Roman" w:hAnsi="Times New Roman"/>
          <w:color w:val="0E101A"/>
        </w:rPr>
        <w:t xml:space="preserve">55. https://doi.org/10.1042/bj20031465. </w:t>
      </w:r>
    </w:p>
    <w:p w14:paraId="714D2B55" w14:textId="77777777" w:rsidR="002F1423" w:rsidRDefault="00927F0D">
      <w:pPr>
        <w:pStyle w:val="Default"/>
        <w:numPr>
          <w:ilvl w:val="0"/>
          <w:numId w:val="2"/>
        </w:numPr>
        <w:spacing w:before="0" w:line="240" w:lineRule="auto"/>
        <w:rPr>
          <w:rFonts w:ascii="Times New Roman" w:hAnsi="Times New Roman"/>
          <w:color w:val="0E101A"/>
          <w:lang w:val="ar-SA"/>
        </w:rPr>
      </w:pPr>
      <w:r>
        <w:rPr>
          <w:rFonts w:ascii="Times New Roman" w:hAnsi="Times New Roman"/>
          <w:color w:val="0E101A"/>
          <w:rtl/>
          <w:lang w:val="ar-SA"/>
        </w:rPr>
        <w:t>“</w:t>
      </w:r>
      <w:r>
        <w:rPr>
          <w:rFonts w:ascii="Times New Roman" w:hAnsi="Times New Roman"/>
          <w:color w:val="0E101A"/>
        </w:rPr>
        <w:t>Simultaneous Targeting of NPC1 and VDAC1 by Itraconazole Leads to Synergistic Inhibition of Mtor Signaling and Angiogenesis,</w:t>
      </w:r>
      <w:r>
        <w:rPr>
          <w:rFonts w:ascii="Times New Roman" w:hAnsi="Times New Roman"/>
          <w:color w:val="0E101A"/>
        </w:rPr>
        <w:t xml:space="preserve">” </w:t>
      </w:r>
      <w:r>
        <w:rPr>
          <w:rFonts w:ascii="Times New Roman" w:hAnsi="Times New Roman"/>
          <w:color w:val="0E101A"/>
          <w:lang w:val="it-IT"/>
        </w:rPr>
        <w:t xml:space="preserve">n.d. </w:t>
      </w:r>
      <w:r>
        <w:rPr>
          <w:rFonts w:ascii="Times New Roman" w:hAnsi="Times New Roman"/>
          <w:color w:val="0E101A"/>
          <w:lang w:val="it-IT"/>
        </w:rPr>
        <w:t>https://doi.org/10.1021/acschembio.6b00849.s003.</w:t>
      </w:r>
    </w:p>
    <w:p w14:paraId="388442E6"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Head, Sarah A., Wei Shi, Liang Zhao, Kirill Gorshkov, Kalyan Pasunooti, Yue Chen, Zhiyou Deng, et al. </w:t>
      </w:r>
      <w:r>
        <w:rPr>
          <w:rFonts w:ascii="Times New Roman" w:hAnsi="Times New Roman"/>
          <w:color w:val="0E101A"/>
          <w:rtl/>
          <w:lang w:val="ar-SA"/>
        </w:rPr>
        <w:t>“</w:t>
      </w:r>
      <w:r>
        <w:rPr>
          <w:rFonts w:ascii="Times New Roman" w:hAnsi="Times New Roman"/>
          <w:color w:val="0E101A"/>
        </w:rPr>
        <w:t>Antifungal Drug Itraconazole Targets VDAC1 to Modulate the AMPK/Mtor Signaling Axis in Endothelial Cells</w:t>
      </w:r>
      <w:r>
        <w:rPr>
          <w:rFonts w:ascii="Times New Roman" w:hAnsi="Times New Roman"/>
          <w:color w:val="0E101A"/>
        </w:rPr>
        <w:t>.</w:t>
      </w:r>
      <w:r>
        <w:rPr>
          <w:rFonts w:ascii="Times New Roman" w:hAnsi="Times New Roman"/>
          <w:color w:val="0E101A"/>
        </w:rPr>
        <w:t xml:space="preserve">” </w:t>
      </w:r>
      <w:r>
        <w:rPr>
          <w:rStyle w:val="None"/>
          <w:rFonts w:ascii="Times New Roman" w:hAnsi="Times New Roman"/>
          <w:i/>
          <w:iCs/>
          <w:color w:val="0E101A"/>
        </w:rPr>
        <w:t>Proceedings of the National Academy of Sciences</w:t>
      </w:r>
      <w:r>
        <w:rPr>
          <w:rFonts w:ascii="Times New Roman" w:hAnsi="Times New Roman"/>
          <w:color w:val="0E101A"/>
          <w:lang w:val="pt-PT"/>
        </w:rPr>
        <w:t xml:space="preserve"> 112, no. 52 (2015). https://doi.org/10.1073/pnas.1512867112.</w:t>
      </w:r>
    </w:p>
    <w:p w14:paraId="450732D1"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Puurand, Marju, Kersti Tepp, Natalja Timohhina, Jekaterina Aid, Igor Shevchuk, Vladimir Chekulayev, and Tuuli Kaambre. </w:t>
      </w:r>
      <w:r>
        <w:rPr>
          <w:rFonts w:ascii="Times New Roman" w:hAnsi="Times New Roman"/>
          <w:color w:val="0E101A"/>
          <w:rtl/>
          <w:lang w:val="ar-SA"/>
        </w:rPr>
        <w:t>“</w:t>
      </w:r>
      <w:r>
        <w:rPr>
          <w:rFonts w:ascii="Times New Roman" w:hAnsi="Times New Roman"/>
          <w:color w:val="0E101A"/>
        </w:rPr>
        <w:t xml:space="preserve">Tubulin </w:t>
      </w:r>
      <w:r>
        <w:rPr>
          <w:rFonts w:ascii="Times New Roman" w:hAnsi="Times New Roman"/>
          <w:color w:val="0E101A"/>
        </w:rPr>
        <w:t>Β</w:t>
      </w:r>
      <w:r>
        <w:rPr>
          <w:rFonts w:ascii="Times New Roman" w:hAnsi="Times New Roman"/>
          <w:color w:val="0E101A"/>
        </w:rPr>
        <w:t xml:space="preserve">II and </w:t>
      </w:r>
      <w:r>
        <w:rPr>
          <w:rFonts w:ascii="Times New Roman" w:hAnsi="Times New Roman"/>
          <w:color w:val="0E101A"/>
        </w:rPr>
        <w:t>Β</w:t>
      </w:r>
      <w:r>
        <w:rPr>
          <w:rFonts w:ascii="Times New Roman" w:hAnsi="Times New Roman"/>
          <w:color w:val="0E101A"/>
        </w:rPr>
        <w:t>iii Isoforms as the Regulators of VDAC Channel Permeability in Health and Disease.</w:t>
      </w:r>
      <w:r>
        <w:rPr>
          <w:rFonts w:ascii="Times New Roman" w:hAnsi="Times New Roman"/>
          <w:color w:val="0E101A"/>
        </w:rPr>
        <w:t xml:space="preserve">” </w:t>
      </w:r>
      <w:r>
        <w:rPr>
          <w:rStyle w:val="None"/>
          <w:rFonts w:ascii="Times New Roman" w:hAnsi="Times New Roman"/>
          <w:i/>
          <w:iCs/>
          <w:color w:val="0E101A"/>
          <w:lang w:val="de-DE"/>
        </w:rPr>
        <w:t>Cells</w:t>
      </w:r>
      <w:r>
        <w:rPr>
          <w:rFonts w:ascii="Times New Roman" w:hAnsi="Times New Roman"/>
          <w:color w:val="0E101A"/>
          <w:lang w:val="pt-PT"/>
        </w:rPr>
        <w:t xml:space="preserve"> 8, no. 3 (2019): 239. https://doi.org/10.3390/cells8030239.</w:t>
      </w:r>
    </w:p>
    <w:p w14:paraId="40355DC8"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Wang, Hai, Can Liu, Yongxin Zhao, and Ge Gao. </w:t>
      </w:r>
      <w:r>
        <w:rPr>
          <w:rFonts w:ascii="Times New Roman" w:hAnsi="Times New Roman"/>
          <w:color w:val="0E101A"/>
          <w:rtl/>
          <w:lang w:val="ar-SA"/>
        </w:rPr>
        <w:t>“</w:t>
      </w:r>
      <w:r>
        <w:rPr>
          <w:rFonts w:ascii="Times New Roman" w:hAnsi="Times New Roman"/>
          <w:color w:val="0E101A"/>
          <w:lang w:val="de-DE"/>
        </w:rPr>
        <w:t>Mitochondria Regulation in Ferroptosis.</w:t>
      </w:r>
      <w:r>
        <w:rPr>
          <w:rFonts w:ascii="Times New Roman" w:hAnsi="Times New Roman"/>
          <w:color w:val="0E101A"/>
        </w:rPr>
        <w:t xml:space="preserve">” </w:t>
      </w:r>
      <w:r>
        <w:rPr>
          <w:rStyle w:val="None"/>
          <w:rFonts w:ascii="Times New Roman" w:hAnsi="Times New Roman"/>
          <w:i/>
          <w:iCs/>
          <w:color w:val="0E101A"/>
        </w:rPr>
        <w:t>European Journal of Cell Biology</w:t>
      </w:r>
      <w:r>
        <w:rPr>
          <w:rFonts w:ascii="Times New Roman" w:hAnsi="Times New Roman"/>
          <w:color w:val="0E101A"/>
          <w:lang w:val="pt-PT"/>
        </w:rPr>
        <w:t xml:space="preserve"> 99, no. 1 (2020): 151058. https://doi.org/10.1016/j.ejcb.2019.151058.</w:t>
      </w:r>
    </w:p>
    <w:p w14:paraId="5A5BA409"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Zhou, Hui-Ren, Kaiyu He, Jeff Landgraf, Xiao Pan, and James Pestka. </w:t>
      </w:r>
      <w:r>
        <w:rPr>
          <w:rFonts w:ascii="Times New Roman" w:hAnsi="Times New Roman"/>
          <w:color w:val="0E101A"/>
          <w:rtl/>
          <w:lang w:val="ar-SA"/>
        </w:rPr>
        <w:t>“</w:t>
      </w:r>
      <w:r>
        <w:rPr>
          <w:rFonts w:ascii="Times New Roman" w:hAnsi="Times New Roman"/>
          <w:color w:val="0E101A"/>
        </w:rPr>
        <w:t xml:space="preserve">Direct Activation of Ribosome-Associated Double-Stranded RNA-Dependent Protein Kinase (PKR) by </w:t>
      </w:r>
      <w:r>
        <w:rPr>
          <w:rFonts w:ascii="Times New Roman" w:hAnsi="Times New Roman"/>
          <w:color w:val="0E101A"/>
        </w:rPr>
        <w:t>Deoxynivalenol, Anisomycin and Ricin: A New Model for Ribotoxic Stress Response Induction.</w:t>
      </w:r>
      <w:r>
        <w:rPr>
          <w:rFonts w:ascii="Times New Roman" w:hAnsi="Times New Roman"/>
          <w:color w:val="0E101A"/>
        </w:rPr>
        <w:t xml:space="preserve">” </w:t>
      </w:r>
      <w:r>
        <w:rPr>
          <w:rStyle w:val="None"/>
          <w:rFonts w:ascii="Times New Roman" w:hAnsi="Times New Roman"/>
          <w:i/>
          <w:iCs/>
          <w:color w:val="0E101A"/>
        </w:rPr>
        <w:t>Toxins</w:t>
      </w:r>
      <w:r>
        <w:rPr>
          <w:rFonts w:ascii="Times New Roman" w:hAnsi="Times New Roman"/>
          <w:color w:val="0E101A"/>
        </w:rPr>
        <w:t xml:space="preserve"> 6, no. 12 (2014): 3406</w:t>
      </w:r>
      <w:r>
        <w:rPr>
          <w:rFonts w:ascii="Times New Roman" w:hAnsi="Times New Roman"/>
          <w:color w:val="0E101A"/>
        </w:rPr>
        <w:t>–</w:t>
      </w:r>
      <w:r>
        <w:rPr>
          <w:rFonts w:ascii="Times New Roman" w:hAnsi="Times New Roman"/>
          <w:color w:val="0E101A"/>
        </w:rPr>
        <w:t>25. https://doi.org/10.3390/toxins6123406.</w:t>
      </w:r>
    </w:p>
    <w:p w14:paraId="08B0DA12" w14:textId="77777777" w:rsidR="002F1423" w:rsidRDefault="00927F0D">
      <w:pPr>
        <w:pStyle w:val="Default"/>
        <w:numPr>
          <w:ilvl w:val="0"/>
          <w:numId w:val="2"/>
        </w:numPr>
        <w:spacing w:before="0" w:line="240" w:lineRule="auto"/>
        <w:rPr>
          <w:rFonts w:ascii="Times New Roman" w:hAnsi="Times New Roman"/>
          <w:color w:val="0E101A"/>
          <w:lang w:val="it-IT"/>
        </w:rPr>
      </w:pPr>
      <w:r>
        <w:rPr>
          <w:rFonts w:ascii="Times New Roman" w:hAnsi="Times New Roman"/>
          <w:color w:val="0E101A"/>
          <w:lang w:val="it-IT"/>
        </w:rPr>
        <w:t xml:space="preserve">Cargnello, Marie, and Philippe P. Roux. </w:t>
      </w:r>
      <w:r>
        <w:rPr>
          <w:rFonts w:ascii="Times New Roman" w:hAnsi="Times New Roman"/>
          <w:color w:val="0E101A"/>
          <w:rtl/>
          <w:lang w:val="ar-SA"/>
        </w:rPr>
        <w:t>“</w:t>
      </w:r>
      <w:r>
        <w:rPr>
          <w:rFonts w:ascii="Times New Roman" w:hAnsi="Times New Roman"/>
          <w:color w:val="0E101A"/>
        </w:rPr>
        <w:t xml:space="preserve">Activation and Function of the Mapks and </w:t>
      </w:r>
      <w:r>
        <w:rPr>
          <w:rFonts w:ascii="Times New Roman" w:hAnsi="Times New Roman"/>
          <w:color w:val="0E101A"/>
        </w:rPr>
        <w:t>Their Substrates, the MAPK-Activated Protein Kinases.</w:t>
      </w:r>
      <w:r>
        <w:rPr>
          <w:rFonts w:ascii="Times New Roman" w:hAnsi="Times New Roman"/>
          <w:color w:val="0E101A"/>
        </w:rPr>
        <w:t xml:space="preserve">” </w:t>
      </w:r>
      <w:r>
        <w:rPr>
          <w:rStyle w:val="None"/>
          <w:rFonts w:ascii="Times New Roman" w:hAnsi="Times New Roman"/>
          <w:i/>
          <w:iCs/>
          <w:color w:val="0E101A"/>
        </w:rPr>
        <w:t>Microbiology and Molecular Biology Reviews</w:t>
      </w:r>
      <w:r>
        <w:rPr>
          <w:rFonts w:ascii="Times New Roman" w:hAnsi="Times New Roman"/>
          <w:color w:val="0E101A"/>
        </w:rPr>
        <w:t xml:space="preserve"> 76, no. 2 (2012): 496</w:t>
      </w:r>
      <w:r>
        <w:rPr>
          <w:rFonts w:ascii="Times New Roman" w:hAnsi="Times New Roman"/>
          <w:color w:val="0E101A"/>
        </w:rPr>
        <w:t>–</w:t>
      </w:r>
      <w:r>
        <w:rPr>
          <w:rFonts w:ascii="Times New Roman" w:hAnsi="Times New Roman"/>
          <w:color w:val="0E101A"/>
          <w:lang w:val="pt-PT"/>
        </w:rPr>
        <w:t>96. https://doi.org/10.1128/mmbr.00013-12.</w:t>
      </w:r>
    </w:p>
    <w:p w14:paraId="03AA8E21"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Shoemaker, R., and D. Lark. </w:t>
      </w:r>
      <w:r>
        <w:rPr>
          <w:rFonts w:ascii="Times New Roman" w:hAnsi="Times New Roman"/>
          <w:color w:val="0E101A"/>
          <w:rtl/>
          <w:lang w:val="ar-SA"/>
        </w:rPr>
        <w:t>“</w:t>
      </w:r>
      <w:r>
        <w:rPr>
          <w:rFonts w:ascii="Times New Roman" w:hAnsi="Times New Roman"/>
          <w:color w:val="0E101A"/>
          <w:lang w:val="de-DE"/>
        </w:rPr>
        <w:t xml:space="preserve">HERTSMI-2 and ERMI: </w:t>
      </w:r>
      <w:r>
        <w:rPr>
          <w:rFonts w:ascii="Times New Roman" w:hAnsi="Times New Roman"/>
          <w:color w:val="0E101A"/>
          <w:rtl/>
        </w:rPr>
        <w:t>‘</w:t>
      </w:r>
      <w:r>
        <w:rPr>
          <w:rFonts w:ascii="Times New Roman" w:hAnsi="Times New Roman"/>
          <w:color w:val="0E101A"/>
        </w:rPr>
        <w:t xml:space="preserve">Correlating Human Health Risk with Mold </w:t>
      </w:r>
      <w:r>
        <w:rPr>
          <w:rFonts w:ascii="Times New Roman" w:hAnsi="Times New Roman"/>
          <w:color w:val="0E101A"/>
        </w:rPr>
        <w:t>Specific QPCR in Water-Damaged Buildings</w:t>
      </w:r>
      <w:r>
        <w:rPr>
          <w:rFonts w:ascii="Times New Roman" w:hAnsi="Times New Roman"/>
          <w:color w:val="0E101A"/>
          <w:rtl/>
        </w:rPr>
        <w:t>’</w:t>
      </w:r>
      <w:r>
        <w:rPr>
          <w:rFonts w:ascii="Times New Roman" w:hAnsi="Times New Roman"/>
          <w:color w:val="0E101A"/>
        </w:rPr>
        <w:t>.</w:t>
      </w:r>
      <w:r>
        <w:rPr>
          <w:rFonts w:ascii="Times New Roman" w:hAnsi="Times New Roman"/>
          <w:color w:val="0E101A"/>
        </w:rPr>
        <w:t xml:space="preserve">” </w:t>
      </w:r>
      <w:r>
        <w:rPr>
          <w:rFonts w:ascii="Times New Roman" w:hAnsi="Times New Roman"/>
          <w:color w:val="0E101A"/>
        </w:rPr>
        <w:t>In #658 In Proceedings of the 14th International Conference on Indoor Air Quality and Climate, International Society for Indoor Air Quality and Climate. Ghent, 2016.</w:t>
      </w:r>
    </w:p>
    <w:p w14:paraId="411B3432" w14:textId="77777777" w:rsidR="002F1423" w:rsidRDefault="00927F0D">
      <w:pPr>
        <w:pStyle w:val="Default"/>
        <w:numPr>
          <w:ilvl w:val="0"/>
          <w:numId w:val="2"/>
        </w:numPr>
        <w:spacing w:before="0" w:line="240" w:lineRule="auto"/>
        <w:rPr>
          <w:rFonts w:ascii="Times New Roman" w:hAnsi="Times New Roman"/>
          <w:color w:val="0E101A"/>
          <w:lang w:val="pt-PT"/>
        </w:rPr>
      </w:pPr>
      <w:r>
        <w:rPr>
          <w:rFonts w:ascii="Times New Roman" w:hAnsi="Times New Roman"/>
          <w:color w:val="0E101A"/>
          <w:lang w:val="pt-PT"/>
        </w:rPr>
        <w:t xml:space="preserve">Oliveira, Joana Moitinho, Sandra A. Rebuffat, </w:t>
      </w:r>
      <w:r>
        <w:rPr>
          <w:rFonts w:ascii="Times New Roman" w:hAnsi="Times New Roman"/>
          <w:color w:val="0E101A"/>
          <w:lang w:val="pt-PT"/>
        </w:rPr>
        <w:t xml:space="preserve">Rosa Gasa, and Ramon Gomis. </w:t>
      </w:r>
      <w:r>
        <w:rPr>
          <w:rFonts w:ascii="Times New Roman" w:hAnsi="Times New Roman"/>
          <w:color w:val="0E101A"/>
          <w:rtl/>
          <w:lang w:val="ar-SA"/>
        </w:rPr>
        <w:t>“</w:t>
      </w:r>
      <w:r>
        <w:rPr>
          <w:rFonts w:ascii="Times New Roman" w:hAnsi="Times New Roman"/>
          <w:color w:val="0E101A"/>
        </w:rPr>
        <w:t>Targeting Type 2 Diabetes: Lessons from a Knockout Model of Insulin Receptor Substrate 2.</w:t>
      </w:r>
      <w:r>
        <w:rPr>
          <w:rFonts w:ascii="Times New Roman" w:hAnsi="Times New Roman"/>
          <w:color w:val="0E101A"/>
        </w:rPr>
        <w:t xml:space="preserve">” </w:t>
      </w:r>
      <w:r>
        <w:rPr>
          <w:rStyle w:val="None"/>
          <w:rFonts w:ascii="Times New Roman" w:hAnsi="Times New Roman"/>
          <w:i/>
          <w:iCs/>
          <w:color w:val="0E101A"/>
        </w:rPr>
        <w:t>Canadian Journal of Physiology and Pharmacology</w:t>
      </w:r>
      <w:r>
        <w:rPr>
          <w:rFonts w:ascii="Times New Roman" w:hAnsi="Times New Roman"/>
          <w:color w:val="0E101A"/>
        </w:rPr>
        <w:t xml:space="preserve"> 92, no. 8 (2014): 613</w:t>
      </w:r>
      <w:r>
        <w:rPr>
          <w:rFonts w:ascii="Times New Roman" w:hAnsi="Times New Roman"/>
          <w:color w:val="0E101A"/>
        </w:rPr>
        <w:t>–</w:t>
      </w:r>
      <w:r>
        <w:rPr>
          <w:rFonts w:ascii="Times New Roman" w:hAnsi="Times New Roman"/>
          <w:color w:val="0E101A"/>
        </w:rPr>
        <w:t xml:space="preserve">20. </w:t>
      </w:r>
      <w:r>
        <w:rPr>
          <w:rFonts w:ascii="Times New Roman" w:hAnsi="Times New Roman"/>
          <w:color w:val="0E101A"/>
        </w:rPr>
        <w:t>https://doi.org/10.1139/cjpp-2014-0114.</w:t>
      </w:r>
    </w:p>
    <w:p w14:paraId="4BAE4272"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Long, Yun Chau, Zhiyong Cheng, Kyle D. Copps, and Morris F. White. </w:t>
      </w:r>
      <w:r>
        <w:rPr>
          <w:rFonts w:ascii="Times New Roman" w:hAnsi="Times New Roman"/>
          <w:color w:val="0E101A"/>
          <w:rtl/>
          <w:lang w:val="ar-SA"/>
        </w:rPr>
        <w:t>“</w:t>
      </w:r>
      <w:r>
        <w:rPr>
          <w:rFonts w:ascii="Times New Roman" w:hAnsi="Times New Roman"/>
          <w:color w:val="0E101A"/>
        </w:rPr>
        <w:t>Insulin Receptor Substrates IRS1 and IRS2 Coordinate Skeletal Muscle Growth and Metabolism via the AKT and AMPK PATHWAYS.</w:t>
      </w:r>
      <w:r>
        <w:rPr>
          <w:rFonts w:ascii="Times New Roman" w:hAnsi="Times New Roman"/>
          <w:color w:val="0E101A"/>
        </w:rPr>
        <w:t xml:space="preserve">” </w:t>
      </w:r>
      <w:r>
        <w:rPr>
          <w:rStyle w:val="None"/>
          <w:rFonts w:ascii="Times New Roman" w:hAnsi="Times New Roman"/>
          <w:i/>
          <w:iCs/>
          <w:color w:val="0E101A"/>
        </w:rPr>
        <w:t>Molecular and Cellular Bi</w:t>
      </w:r>
      <w:r>
        <w:rPr>
          <w:rStyle w:val="None"/>
          <w:rFonts w:ascii="Times New Roman" w:hAnsi="Times New Roman"/>
          <w:i/>
          <w:iCs/>
          <w:color w:val="0E101A"/>
        </w:rPr>
        <w:t>ology</w:t>
      </w:r>
      <w:r>
        <w:rPr>
          <w:rFonts w:ascii="Times New Roman" w:hAnsi="Times New Roman"/>
          <w:color w:val="0E101A"/>
        </w:rPr>
        <w:t xml:space="preserve"> 31, no. 3 (2011): 430</w:t>
      </w:r>
      <w:r>
        <w:rPr>
          <w:rFonts w:ascii="Times New Roman" w:hAnsi="Times New Roman"/>
          <w:color w:val="0E101A"/>
        </w:rPr>
        <w:t>–</w:t>
      </w:r>
      <w:r>
        <w:rPr>
          <w:rFonts w:ascii="Times New Roman" w:hAnsi="Times New Roman"/>
          <w:color w:val="0E101A"/>
        </w:rPr>
        <w:t xml:space="preserve">41. https://doi.org/10.1128/mcb.00983-10. </w:t>
      </w:r>
    </w:p>
    <w:p w14:paraId="7737F8E9" w14:textId="77777777" w:rsidR="002F1423" w:rsidRDefault="00927F0D">
      <w:pPr>
        <w:pStyle w:val="Default"/>
        <w:numPr>
          <w:ilvl w:val="0"/>
          <w:numId w:val="2"/>
        </w:numPr>
        <w:spacing w:before="0" w:line="240" w:lineRule="auto"/>
        <w:rPr>
          <w:rFonts w:ascii="Times New Roman" w:hAnsi="Times New Roman"/>
          <w:color w:val="0E101A"/>
          <w:lang w:val="de-DE"/>
        </w:rPr>
      </w:pPr>
      <w:r>
        <w:rPr>
          <w:rFonts w:ascii="Times New Roman" w:hAnsi="Times New Roman"/>
          <w:color w:val="0E101A"/>
          <w:lang w:val="de-DE"/>
        </w:rPr>
        <w:t xml:space="preserve">Schmitz-Peiffer, Carsten, and Jonathan Whitehead. </w:t>
      </w:r>
      <w:r>
        <w:rPr>
          <w:rFonts w:ascii="Times New Roman" w:hAnsi="Times New Roman"/>
          <w:color w:val="0E101A"/>
          <w:rtl/>
          <w:lang w:val="ar-SA"/>
        </w:rPr>
        <w:t>“</w:t>
      </w:r>
      <w:r>
        <w:rPr>
          <w:rFonts w:ascii="Times New Roman" w:hAnsi="Times New Roman"/>
          <w:color w:val="0E101A"/>
        </w:rPr>
        <w:t>IRS-1 Regulation in Health and Disease.</w:t>
      </w:r>
      <w:r>
        <w:rPr>
          <w:rFonts w:ascii="Times New Roman" w:hAnsi="Times New Roman"/>
          <w:color w:val="0E101A"/>
        </w:rPr>
        <w:t xml:space="preserve">” </w:t>
      </w:r>
      <w:r>
        <w:rPr>
          <w:rStyle w:val="None"/>
          <w:rFonts w:ascii="Times New Roman" w:hAnsi="Times New Roman"/>
          <w:i/>
          <w:iCs/>
          <w:color w:val="0E101A"/>
        </w:rPr>
        <w:t>IUBMB Life (International Union of Biochemistry and Molecular Biology: Life)</w:t>
      </w:r>
      <w:r>
        <w:rPr>
          <w:rFonts w:ascii="Times New Roman" w:hAnsi="Times New Roman"/>
          <w:color w:val="0E101A"/>
        </w:rPr>
        <w:t xml:space="preserve"> 55, no. 7 (2003): 367</w:t>
      </w:r>
      <w:r>
        <w:rPr>
          <w:rFonts w:ascii="Times New Roman" w:hAnsi="Times New Roman"/>
          <w:color w:val="0E101A"/>
        </w:rPr>
        <w:t>–</w:t>
      </w:r>
      <w:r>
        <w:rPr>
          <w:rFonts w:ascii="Times New Roman" w:hAnsi="Times New Roman"/>
          <w:color w:val="0E101A"/>
        </w:rPr>
        <w:t>74. https://doi.org/10.1080/1521654031000138569.</w:t>
      </w:r>
    </w:p>
    <w:p w14:paraId="3954F942" w14:textId="77777777" w:rsidR="002F1423" w:rsidRDefault="00927F0D">
      <w:pPr>
        <w:pStyle w:val="Default"/>
        <w:numPr>
          <w:ilvl w:val="0"/>
          <w:numId w:val="2"/>
        </w:numPr>
        <w:spacing w:before="0" w:line="240" w:lineRule="auto"/>
        <w:rPr>
          <w:rFonts w:ascii="Times New Roman" w:hAnsi="Times New Roman"/>
          <w:color w:val="0E101A"/>
          <w:lang w:val="it-IT"/>
        </w:rPr>
      </w:pPr>
      <w:r>
        <w:rPr>
          <w:rFonts w:ascii="Times New Roman" w:hAnsi="Times New Roman"/>
          <w:color w:val="0E101A"/>
          <w:lang w:val="it-IT"/>
        </w:rPr>
        <w:t xml:space="preserve">Benzi, L., P. Cecchetti, A.M. Ciccarone, A. Nardone, A. Nardone, E. Merola, R. Maggiorelli, F. Campi, G. Di Cianni, and R. Navalesi. </w:t>
      </w:r>
      <w:r>
        <w:rPr>
          <w:rFonts w:ascii="Times New Roman" w:hAnsi="Times New Roman"/>
          <w:color w:val="0E101A"/>
          <w:rtl/>
          <w:lang w:val="ar-SA"/>
        </w:rPr>
        <w:t>“</w:t>
      </w:r>
      <w:r>
        <w:rPr>
          <w:rFonts w:ascii="Times New Roman" w:hAnsi="Times New Roman"/>
          <w:color w:val="0E101A"/>
        </w:rPr>
        <w:t xml:space="preserve">Inhibition of Endosomal Acidification in </w:t>
      </w:r>
      <w:r>
        <w:rPr>
          <w:rFonts w:ascii="Times New Roman" w:hAnsi="Times New Roman"/>
          <w:color w:val="0E101A"/>
        </w:rPr>
        <w:t>Normal Cells Mimics the Derangements of Cellular Insulin and Insulin-Receptor Metabolism Observed in Non</w:t>
      </w:r>
      <w:r>
        <w:rPr>
          <w:rFonts w:ascii="Times New Roman" w:hAnsi="Times New Roman"/>
          <w:color w:val="0E101A"/>
        </w:rPr>
        <w:t>—</w:t>
      </w:r>
      <w:r>
        <w:rPr>
          <w:rFonts w:ascii="Times New Roman" w:hAnsi="Times New Roman"/>
          <w:color w:val="0E101A"/>
        </w:rPr>
        <w:t>Insulin-Dependent Diabetes Mellitus.</w:t>
      </w:r>
      <w:r>
        <w:rPr>
          <w:rFonts w:ascii="Times New Roman" w:hAnsi="Times New Roman"/>
          <w:color w:val="0E101A"/>
        </w:rPr>
        <w:t xml:space="preserve">” </w:t>
      </w:r>
      <w:r>
        <w:rPr>
          <w:rStyle w:val="None"/>
          <w:rFonts w:ascii="Times New Roman" w:hAnsi="Times New Roman"/>
          <w:i/>
          <w:iCs/>
          <w:color w:val="0E101A"/>
          <w:lang w:val="es-ES_tradnl"/>
        </w:rPr>
        <w:t>Metabolism</w:t>
      </w:r>
      <w:r>
        <w:rPr>
          <w:rFonts w:ascii="Times New Roman" w:hAnsi="Times New Roman"/>
          <w:color w:val="0E101A"/>
        </w:rPr>
        <w:t xml:space="preserve"> 46, no. 11 (1997): 1259</w:t>
      </w:r>
      <w:r>
        <w:rPr>
          <w:rFonts w:ascii="Times New Roman" w:hAnsi="Times New Roman"/>
          <w:color w:val="0E101A"/>
        </w:rPr>
        <w:t>–</w:t>
      </w:r>
      <w:r>
        <w:rPr>
          <w:rFonts w:ascii="Times New Roman" w:hAnsi="Times New Roman"/>
          <w:color w:val="0E101A"/>
        </w:rPr>
        <w:t xml:space="preserve">65. </w:t>
      </w:r>
      <w:r>
        <w:rPr>
          <w:rFonts w:ascii="Times New Roman" w:hAnsi="Times New Roman"/>
          <w:color w:val="0E101A"/>
        </w:rPr>
        <w:t>https://doi.org/10.1016/s0026-0495(97)90227-4.</w:t>
      </w:r>
    </w:p>
    <w:p w14:paraId="0BEB2123" w14:textId="77777777" w:rsidR="002F1423" w:rsidRDefault="00927F0D">
      <w:pPr>
        <w:pStyle w:val="Default"/>
        <w:numPr>
          <w:ilvl w:val="0"/>
          <w:numId w:val="2"/>
        </w:numPr>
        <w:spacing w:before="0" w:line="240" w:lineRule="auto"/>
        <w:rPr>
          <w:rFonts w:ascii="Times New Roman" w:hAnsi="Times New Roman"/>
          <w:color w:val="0E101A"/>
          <w:lang w:val="it-IT"/>
        </w:rPr>
      </w:pPr>
      <w:r>
        <w:rPr>
          <w:rFonts w:ascii="Times New Roman" w:hAnsi="Times New Roman"/>
          <w:color w:val="0E101A"/>
          <w:lang w:val="it-IT"/>
        </w:rPr>
        <w:t xml:space="preserve">Desbuguois, B. </w:t>
      </w:r>
      <w:r>
        <w:rPr>
          <w:rFonts w:ascii="Times New Roman" w:hAnsi="Times New Roman"/>
          <w:color w:val="0E101A"/>
          <w:rtl/>
          <w:lang w:val="ar-SA"/>
        </w:rPr>
        <w:t>“</w:t>
      </w:r>
      <w:r>
        <w:rPr>
          <w:rFonts w:ascii="Times New Roman" w:hAnsi="Times New Roman"/>
          <w:color w:val="0E101A"/>
        </w:rPr>
        <w:t xml:space="preserve">Role of Acidic Subcellular Compartments in the Degradation of Internalized Insulin and in the Recycling of the Internalized Insulin Receptor in Liver Cells: in Vivo and in Vitro </w:t>
      </w:r>
      <w:r>
        <w:rPr>
          <w:rFonts w:ascii="Times New Roman" w:hAnsi="Times New Roman"/>
          <w:color w:val="0E101A"/>
        </w:rPr>
        <w:t>Studies.</w:t>
      </w:r>
      <w:r>
        <w:rPr>
          <w:rFonts w:ascii="Times New Roman" w:hAnsi="Times New Roman"/>
          <w:color w:val="0E101A"/>
        </w:rPr>
        <w:t xml:space="preserve">” </w:t>
      </w:r>
      <w:r>
        <w:rPr>
          <w:rStyle w:val="None"/>
          <w:rFonts w:ascii="Times New Roman" w:hAnsi="Times New Roman"/>
          <w:i/>
          <w:iCs/>
          <w:color w:val="0E101A"/>
          <w:lang w:val="de-DE"/>
        </w:rPr>
        <w:t>Diabetes Metab</w:t>
      </w:r>
      <w:r>
        <w:rPr>
          <w:rFonts w:ascii="Times New Roman" w:hAnsi="Times New Roman"/>
          <w:color w:val="0E101A"/>
        </w:rPr>
        <w:t xml:space="preserve"> 18 (1992): 104</w:t>
      </w:r>
      <w:r>
        <w:rPr>
          <w:rFonts w:ascii="Times New Roman" w:hAnsi="Times New Roman"/>
          <w:color w:val="0E101A"/>
        </w:rPr>
        <w:t>–</w:t>
      </w:r>
      <w:r>
        <w:rPr>
          <w:rFonts w:ascii="Times New Roman" w:hAnsi="Times New Roman"/>
          <w:color w:val="0E101A"/>
        </w:rPr>
        <w:t>12.</w:t>
      </w:r>
    </w:p>
    <w:p w14:paraId="5662EC1E"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 </w:t>
      </w:r>
      <w:r>
        <w:rPr>
          <w:rFonts w:ascii="Times New Roman" w:hAnsi="Times New Roman"/>
          <w:color w:val="0E101A"/>
          <w:lang w:val="it-IT"/>
        </w:rPr>
        <w:t xml:space="preserve">Benzi, L., A.M. Ciccarone, P. Cecchetti, G. DiCianni, F. Caricato, L. Trincavelli, L. Volpe, and R. Navalesi. </w:t>
      </w:r>
      <w:r>
        <w:rPr>
          <w:rFonts w:ascii="Times New Roman" w:hAnsi="Times New Roman"/>
          <w:color w:val="0E101A"/>
          <w:rtl/>
          <w:lang w:val="ar-SA"/>
        </w:rPr>
        <w:t>“</w:t>
      </w:r>
      <w:r>
        <w:rPr>
          <w:rFonts w:ascii="Times New Roman" w:hAnsi="Times New Roman"/>
          <w:color w:val="0E101A"/>
        </w:rPr>
        <w:t xml:space="preserve">Intracellular Hyperinsulinism: A Metabolic Characteristic of Obesity with and without Type 2 </w:t>
      </w:r>
      <w:r>
        <w:rPr>
          <w:rFonts w:ascii="Times New Roman" w:hAnsi="Times New Roman"/>
          <w:color w:val="0E101A"/>
        </w:rPr>
        <w:t>Diabetes.</w:t>
      </w:r>
      <w:r>
        <w:rPr>
          <w:rFonts w:ascii="Times New Roman" w:hAnsi="Times New Roman"/>
          <w:color w:val="0E101A"/>
        </w:rPr>
        <w:t xml:space="preserve">” </w:t>
      </w:r>
      <w:r>
        <w:rPr>
          <w:rStyle w:val="None"/>
          <w:rFonts w:ascii="Times New Roman" w:hAnsi="Times New Roman"/>
          <w:i/>
          <w:iCs/>
          <w:color w:val="0E101A"/>
        </w:rPr>
        <w:t>Diabetes Research and Clinical Practice</w:t>
      </w:r>
      <w:r>
        <w:rPr>
          <w:rFonts w:ascii="Times New Roman" w:hAnsi="Times New Roman"/>
          <w:color w:val="0E101A"/>
        </w:rPr>
        <w:t xml:space="preserve"> 46, no. 3 (1999): 231</w:t>
      </w:r>
      <w:r>
        <w:rPr>
          <w:rFonts w:ascii="Times New Roman" w:hAnsi="Times New Roman"/>
          <w:color w:val="0E101A"/>
        </w:rPr>
        <w:t>–</w:t>
      </w:r>
      <w:r>
        <w:rPr>
          <w:rFonts w:ascii="Times New Roman" w:hAnsi="Times New Roman"/>
          <w:color w:val="0E101A"/>
        </w:rPr>
        <w:t>37. https://doi.org/10.1016/s0168-8227(99)00100-x.</w:t>
      </w:r>
    </w:p>
    <w:p w14:paraId="2C0921C7"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Culley, Miranda K., and Stephen Y. Chan. </w:t>
      </w:r>
      <w:r>
        <w:rPr>
          <w:rFonts w:ascii="Times New Roman" w:hAnsi="Times New Roman"/>
          <w:color w:val="0E101A"/>
          <w:rtl/>
          <w:lang w:val="ar-SA"/>
        </w:rPr>
        <w:t>“</w:t>
      </w:r>
      <w:r>
        <w:rPr>
          <w:rFonts w:ascii="Times New Roman" w:hAnsi="Times New Roman"/>
          <w:color w:val="0E101A"/>
        </w:rPr>
        <w:t xml:space="preserve">Mitochondrial Metabolism in Pulmonary Hypertension: Beyond Mountains There Are </w:t>
      </w:r>
      <w:r>
        <w:rPr>
          <w:rFonts w:ascii="Times New Roman" w:hAnsi="Times New Roman"/>
          <w:color w:val="0E101A"/>
        </w:rPr>
        <w:t>Mountains.</w:t>
      </w:r>
      <w:r>
        <w:rPr>
          <w:rFonts w:ascii="Times New Roman" w:hAnsi="Times New Roman"/>
          <w:color w:val="0E101A"/>
        </w:rPr>
        <w:t xml:space="preserve">” </w:t>
      </w:r>
      <w:r>
        <w:rPr>
          <w:rStyle w:val="None"/>
          <w:rFonts w:ascii="Times New Roman" w:hAnsi="Times New Roman"/>
          <w:i/>
          <w:iCs/>
          <w:color w:val="0E101A"/>
        </w:rPr>
        <w:t>Journal of Clinical Investigation</w:t>
      </w:r>
      <w:r>
        <w:rPr>
          <w:rFonts w:ascii="Times New Roman" w:hAnsi="Times New Roman"/>
          <w:color w:val="0E101A"/>
        </w:rPr>
        <w:t xml:space="preserve"> 128, no. 9 (2018): 3704</w:t>
      </w:r>
      <w:r>
        <w:rPr>
          <w:rFonts w:ascii="Times New Roman" w:hAnsi="Times New Roman"/>
          <w:color w:val="0E101A"/>
        </w:rPr>
        <w:t>–</w:t>
      </w:r>
      <w:r>
        <w:rPr>
          <w:rFonts w:ascii="Times New Roman" w:hAnsi="Times New Roman"/>
          <w:color w:val="0E101A"/>
        </w:rPr>
        <w:t>15. https://doi.org/10.1172/jci120847.</w:t>
      </w:r>
    </w:p>
    <w:p w14:paraId="756191D4" w14:textId="77777777" w:rsidR="002F1423" w:rsidRDefault="00927F0D">
      <w:pPr>
        <w:pStyle w:val="Default"/>
        <w:numPr>
          <w:ilvl w:val="0"/>
          <w:numId w:val="2"/>
        </w:numPr>
        <w:spacing w:before="0" w:line="240" w:lineRule="auto"/>
        <w:rPr>
          <w:rFonts w:ascii="Times New Roman" w:hAnsi="Times New Roman"/>
          <w:color w:val="0E101A"/>
          <w:lang w:val="de-DE"/>
        </w:rPr>
      </w:pPr>
      <w:r>
        <w:rPr>
          <w:rFonts w:ascii="Times New Roman" w:hAnsi="Times New Roman"/>
          <w:color w:val="0E101A"/>
          <w:lang w:val="de-DE"/>
        </w:rPr>
        <w:t xml:space="preserve">Liu, Pengfei, Yue Gu, Jie Luo, Peng Ye, Yaguo Zheng, Wande Yu, and Shaoliang Chen. </w:t>
      </w:r>
      <w:r>
        <w:rPr>
          <w:rFonts w:ascii="Times New Roman" w:hAnsi="Times New Roman"/>
          <w:color w:val="0E101A"/>
          <w:rtl/>
          <w:lang w:val="ar-SA"/>
        </w:rPr>
        <w:t>“</w:t>
      </w:r>
      <w:r>
        <w:rPr>
          <w:rFonts w:ascii="Times New Roman" w:hAnsi="Times New Roman"/>
          <w:color w:val="0E101A"/>
        </w:rPr>
        <w:t>Inhibition of SRC Activation Reverses Pulmonary Vascular Remodeling in Experimental Pulmonary Arterial Hypertension via AKT/MTOR/HIF-1 Signaling Pathway.</w:t>
      </w:r>
      <w:r>
        <w:rPr>
          <w:rFonts w:ascii="Times New Roman" w:hAnsi="Times New Roman"/>
          <w:color w:val="0E101A"/>
        </w:rPr>
        <w:t xml:space="preserve">” </w:t>
      </w:r>
      <w:r>
        <w:rPr>
          <w:rStyle w:val="None"/>
          <w:rFonts w:ascii="Times New Roman" w:hAnsi="Times New Roman"/>
          <w:i/>
          <w:iCs/>
          <w:color w:val="0E101A"/>
        </w:rPr>
        <w:t>Experimental Cell Research</w:t>
      </w:r>
      <w:r>
        <w:rPr>
          <w:rFonts w:ascii="Times New Roman" w:hAnsi="Times New Roman"/>
          <w:color w:val="0E101A"/>
        </w:rPr>
        <w:t xml:space="preserve"> 380, no. 1 (2019): 36</w:t>
      </w:r>
      <w:r>
        <w:rPr>
          <w:rFonts w:ascii="Times New Roman" w:hAnsi="Times New Roman"/>
          <w:color w:val="0E101A"/>
        </w:rPr>
        <w:t>–</w:t>
      </w:r>
      <w:r>
        <w:rPr>
          <w:rFonts w:ascii="Times New Roman" w:hAnsi="Times New Roman"/>
          <w:color w:val="0E101A"/>
        </w:rPr>
        <w:t>46. https://doi.org/10.1016/j.yexcr.2019.02.022.</w:t>
      </w:r>
    </w:p>
    <w:p w14:paraId="3B24573F"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Ryan, John J., and Stephen L. Archer. </w:t>
      </w:r>
      <w:r>
        <w:rPr>
          <w:rFonts w:ascii="Times New Roman" w:hAnsi="Times New Roman"/>
          <w:color w:val="0E101A"/>
          <w:rtl/>
          <w:lang w:val="ar-SA"/>
        </w:rPr>
        <w:t>“</w:t>
      </w:r>
      <w:r>
        <w:rPr>
          <w:rFonts w:ascii="Times New Roman" w:hAnsi="Times New Roman"/>
          <w:color w:val="0E101A"/>
        </w:rPr>
        <w:t>The Right Ventricle in Pulmonary Arterial Hypertension.</w:t>
      </w:r>
      <w:r>
        <w:rPr>
          <w:rFonts w:ascii="Times New Roman" w:hAnsi="Times New Roman"/>
          <w:color w:val="0E101A"/>
        </w:rPr>
        <w:t xml:space="preserve">” </w:t>
      </w:r>
      <w:r>
        <w:rPr>
          <w:rStyle w:val="None"/>
          <w:rFonts w:ascii="Times New Roman" w:hAnsi="Times New Roman"/>
          <w:i/>
          <w:iCs/>
          <w:color w:val="0E101A"/>
        </w:rPr>
        <w:t>Circulation Research</w:t>
      </w:r>
      <w:r>
        <w:rPr>
          <w:rFonts w:ascii="Times New Roman" w:hAnsi="Times New Roman"/>
          <w:color w:val="0E101A"/>
        </w:rPr>
        <w:t>115, no. 1 (2014): 176</w:t>
      </w:r>
      <w:r>
        <w:rPr>
          <w:rFonts w:ascii="Times New Roman" w:hAnsi="Times New Roman"/>
          <w:color w:val="0E101A"/>
        </w:rPr>
        <w:t>–</w:t>
      </w:r>
      <w:r>
        <w:rPr>
          <w:rFonts w:ascii="Times New Roman" w:hAnsi="Times New Roman"/>
          <w:color w:val="0E101A"/>
          <w:lang w:val="fr-FR"/>
        </w:rPr>
        <w:t xml:space="preserve">88. </w:t>
      </w:r>
      <w:r>
        <w:rPr>
          <w:rFonts w:ascii="Times New Roman" w:hAnsi="Times New Roman"/>
          <w:color w:val="0E101A"/>
          <w:lang w:val="fr-FR"/>
        </w:rPr>
        <w:t>https://doi.org/10.1161/circresaha.113.301129.</w:t>
      </w:r>
    </w:p>
    <w:p w14:paraId="7C33CEA5" w14:textId="77777777" w:rsidR="002F1423" w:rsidRDefault="00927F0D">
      <w:pPr>
        <w:pStyle w:val="Default"/>
        <w:numPr>
          <w:ilvl w:val="0"/>
          <w:numId w:val="2"/>
        </w:numPr>
        <w:spacing w:before="0" w:line="240" w:lineRule="auto"/>
        <w:rPr>
          <w:rFonts w:ascii="Times New Roman" w:hAnsi="Times New Roman"/>
          <w:color w:val="0E101A"/>
          <w:lang w:val="es-ES_tradnl"/>
        </w:rPr>
      </w:pPr>
      <w:r>
        <w:rPr>
          <w:rFonts w:ascii="Times New Roman" w:hAnsi="Times New Roman"/>
          <w:color w:val="0E101A"/>
          <w:lang w:val="es-ES_tradnl"/>
        </w:rPr>
        <w:t xml:space="preserve">Gomez-Arroyo, Jose, Shiro Mizuno, Karol Szczepanek, Benjamin Van Tassell, Ramesh Natarajan, Cristobal G. dos Remedios, Jennifer I. Drake, et al. </w:t>
      </w:r>
      <w:r>
        <w:rPr>
          <w:rFonts w:ascii="Times New Roman" w:hAnsi="Times New Roman"/>
          <w:color w:val="0E101A"/>
          <w:rtl/>
          <w:lang w:val="ar-SA"/>
        </w:rPr>
        <w:t>“</w:t>
      </w:r>
      <w:r>
        <w:rPr>
          <w:rFonts w:ascii="Times New Roman" w:hAnsi="Times New Roman"/>
          <w:color w:val="0E101A"/>
        </w:rPr>
        <w:t xml:space="preserve">Metabolic Gene Remodeling and Mitochondrial Dysfunction in Failing Right Ventricular Hypertrophy Secondary to </w:t>
      </w:r>
      <w:r>
        <w:rPr>
          <w:rFonts w:ascii="Times New Roman" w:hAnsi="Times New Roman"/>
          <w:color w:val="0E101A"/>
        </w:rPr>
        <w:t>Pulmonary Arterial Hypertension.</w:t>
      </w:r>
      <w:r>
        <w:rPr>
          <w:rFonts w:ascii="Times New Roman" w:hAnsi="Times New Roman"/>
          <w:color w:val="0E101A"/>
        </w:rPr>
        <w:t xml:space="preserve">” </w:t>
      </w:r>
      <w:r>
        <w:rPr>
          <w:rStyle w:val="None"/>
          <w:rFonts w:ascii="Times New Roman" w:hAnsi="Times New Roman"/>
          <w:i/>
          <w:iCs/>
          <w:color w:val="0E101A"/>
        </w:rPr>
        <w:t>Circulation: Heart Failure</w:t>
      </w:r>
      <w:r>
        <w:rPr>
          <w:rFonts w:ascii="Times New Roman" w:hAnsi="Times New Roman"/>
          <w:color w:val="0E101A"/>
        </w:rPr>
        <w:t xml:space="preserve"> 6, no. 1 (2013): 136</w:t>
      </w:r>
      <w:r>
        <w:rPr>
          <w:rFonts w:ascii="Times New Roman" w:hAnsi="Times New Roman"/>
          <w:color w:val="0E101A"/>
        </w:rPr>
        <w:t>–</w:t>
      </w:r>
      <w:r>
        <w:rPr>
          <w:rFonts w:ascii="Times New Roman" w:hAnsi="Times New Roman"/>
          <w:color w:val="0E101A"/>
        </w:rPr>
        <w:t>44. https://doi.org/10.1161/circheartfailure.111.966127.</w:t>
      </w:r>
    </w:p>
    <w:p w14:paraId="6A8B8A12" w14:textId="77777777" w:rsidR="002F1423" w:rsidRDefault="00927F0D">
      <w:pPr>
        <w:pStyle w:val="Default"/>
        <w:numPr>
          <w:ilvl w:val="0"/>
          <w:numId w:val="2"/>
        </w:numPr>
        <w:spacing w:before="0" w:line="240" w:lineRule="auto"/>
        <w:rPr>
          <w:rFonts w:ascii="Times New Roman" w:hAnsi="Times New Roman"/>
          <w:color w:val="0E101A"/>
          <w:lang w:val="it-IT"/>
        </w:rPr>
      </w:pPr>
      <w:r>
        <w:rPr>
          <w:rFonts w:ascii="Times New Roman" w:hAnsi="Times New Roman"/>
          <w:color w:val="0E101A"/>
          <w:lang w:val="it-IT"/>
        </w:rPr>
        <w:t xml:space="preserve">Gabriel, Sarah Sharon, and Axel Kallies. </w:t>
      </w:r>
      <w:r>
        <w:rPr>
          <w:rFonts w:ascii="Times New Roman" w:hAnsi="Times New Roman"/>
          <w:color w:val="0E101A"/>
          <w:rtl/>
          <w:lang w:val="ar-SA"/>
        </w:rPr>
        <w:t>“</w:t>
      </w:r>
      <w:r>
        <w:rPr>
          <w:rFonts w:ascii="Times New Roman" w:hAnsi="Times New Roman"/>
          <w:color w:val="0E101A"/>
        </w:rPr>
        <w:t xml:space="preserve">Sugars and Fat - a Healthy Way to Generate Functional Regulatory T </w:t>
      </w:r>
      <w:r>
        <w:rPr>
          <w:rFonts w:ascii="Times New Roman" w:hAnsi="Times New Roman"/>
          <w:color w:val="0E101A"/>
        </w:rPr>
        <w:t>Cells.</w:t>
      </w:r>
      <w:r>
        <w:rPr>
          <w:rFonts w:ascii="Times New Roman" w:hAnsi="Times New Roman"/>
          <w:color w:val="0E101A"/>
        </w:rPr>
        <w:t xml:space="preserve">” </w:t>
      </w:r>
      <w:r>
        <w:rPr>
          <w:rStyle w:val="None"/>
          <w:rFonts w:ascii="Times New Roman" w:hAnsi="Times New Roman"/>
          <w:i/>
          <w:iCs/>
          <w:color w:val="0E101A"/>
        </w:rPr>
        <w:t>European Journal of Immunology</w:t>
      </w:r>
      <w:r>
        <w:rPr>
          <w:rFonts w:ascii="Times New Roman" w:hAnsi="Times New Roman"/>
          <w:color w:val="0E101A"/>
        </w:rPr>
        <w:t xml:space="preserve"> 46, no. 12 (2016): 2705</w:t>
      </w:r>
      <w:r>
        <w:rPr>
          <w:rFonts w:ascii="Times New Roman" w:hAnsi="Times New Roman"/>
          <w:color w:val="0E101A"/>
        </w:rPr>
        <w:t>–</w:t>
      </w:r>
      <w:r>
        <w:rPr>
          <w:rFonts w:ascii="Times New Roman" w:hAnsi="Times New Roman"/>
          <w:color w:val="0E101A"/>
        </w:rPr>
        <w:t>9. https://doi.org/10.1002/eji.201646663.</w:t>
      </w:r>
    </w:p>
    <w:p w14:paraId="063CD7BE"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Thenappan, Thenappan, Mark L Ormiston, John J Ryan, and Stephen L Archer. </w:t>
      </w:r>
      <w:r>
        <w:rPr>
          <w:rFonts w:ascii="Times New Roman" w:hAnsi="Times New Roman"/>
          <w:color w:val="0E101A"/>
          <w:rtl/>
          <w:lang w:val="ar-SA"/>
        </w:rPr>
        <w:t>“</w:t>
      </w:r>
      <w:r>
        <w:rPr>
          <w:rFonts w:ascii="Times New Roman" w:hAnsi="Times New Roman"/>
          <w:color w:val="0E101A"/>
        </w:rPr>
        <w:t xml:space="preserve">Pulmonary Arterial Hypertension: Pathogenesis and Clinical </w:t>
      </w:r>
      <w:r>
        <w:rPr>
          <w:rFonts w:ascii="Times New Roman" w:hAnsi="Times New Roman"/>
          <w:color w:val="0E101A"/>
        </w:rPr>
        <w:t>Management.</w:t>
      </w:r>
      <w:r>
        <w:rPr>
          <w:rFonts w:ascii="Times New Roman" w:hAnsi="Times New Roman"/>
          <w:color w:val="0E101A"/>
        </w:rPr>
        <w:t xml:space="preserve">” </w:t>
      </w:r>
      <w:r>
        <w:rPr>
          <w:rStyle w:val="None"/>
          <w:rFonts w:ascii="Times New Roman" w:hAnsi="Times New Roman"/>
          <w:i/>
          <w:iCs/>
          <w:color w:val="0E101A"/>
        </w:rPr>
        <w:t>BMJ</w:t>
      </w:r>
      <w:r>
        <w:rPr>
          <w:rFonts w:ascii="Times New Roman" w:hAnsi="Times New Roman"/>
          <w:color w:val="0E101A"/>
        </w:rPr>
        <w:t>, 2018. https://doi.org/10.1136/bmj.j5492.</w:t>
      </w:r>
    </w:p>
    <w:p w14:paraId="672D4985"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Mukhopadhyay, Rupak, Jie Jia, Abul Arif, Partho Sarothi Ray, and Paul L. Fox. </w:t>
      </w:r>
      <w:r>
        <w:rPr>
          <w:rFonts w:ascii="Times New Roman" w:hAnsi="Times New Roman"/>
          <w:color w:val="0E101A"/>
          <w:rtl/>
          <w:lang w:val="ar-SA"/>
        </w:rPr>
        <w:t>“</w:t>
      </w:r>
      <w:r>
        <w:rPr>
          <w:rFonts w:ascii="Times New Roman" w:hAnsi="Times New Roman"/>
          <w:color w:val="0E101A"/>
        </w:rPr>
        <w:t>The Gait System: A Gatekeeper of Inflammatory Gene Expression.</w:t>
      </w:r>
      <w:r>
        <w:rPr>
          <w:rFonts w:ascii="Times New Roman" w:hAnsi="Times New Roman"/>
          <w:color w:val="0E101A"/>
        </w:rPr>
        <w:t xml:space="preserve">” </w:t>
      </w:r>
      <w:r>
        <w:rPr>
          <w:rStyle w:val="None"/>
          <w:rFonts w:ascii="Times New Roman" w:hAnsi="Times New Roman"/>
          <w:i/>
          <w:iCs/>
          <w:color w:val="0E101A"/>
        </w:rPr>
        <w:t>Trends in Biochemical Sciences</w:t>
      </w:r>
      <w:r>
        <w:rPr>
          <w:rFonts w:ascii="Times New Roman" w:hAnsi="Times New Roman"/>
          <w:color w:val="0E101A"/>
        </w:rPr>
        <w:t xml:space="preserve"> 34, no. 7 (2009): 324</w:t>
      </w:r>
      <w:r>
        <w:rPr>
          <w:rFonts w:ascii="Times New Roman" w:hAnsi="Times New Roman"/>
          <w:color w:val="0E101A"/>
        </w:rPr>
        <w:t>–</w:t>
      </w:r>
      <w:r>
        <w:rPr>
          <w:rFonts w:ascii="Times New Roman" w:hAnsi="Times New Roman"/>
          <w:color w:val="0E101A"/>
        </w:rPr>
        <w:t>31. https://doi.org/10.1016/j.tibs.2009.03.004.</w:t>
      </w:r>
    </w:p>
    <w:p w14:paraId="4F6A67AE" w14:textId="77777777" w:rsidR="002F1423" w:rsidRDefault="00927F0D">
      <w:pPr>
        <w:pStyle w:val="Default"/>
        <w:numPr>
          <w:ilvl w:val="0"/>
          <w:numId w:val="2"/>
        </w:numPr>
        <w:spacing w:before="0" w:line="240" w:lineRule="auto"/>
        <w:rPr>
          <w:rFonts w:ascii="Times New Roman" w:hAnsi="Times New Roman"/>
          <w:color w:val="0E101A"/>
          <w:lang w:val="it-IT"/>
        </w:rPr>
      </w:pPr>
      <w:r>
        <w:rPr>
          <w:rFonts w:ascii="Times New Roman" w:hAnsi="Times New Roman"/>
          <w:color w:val="0E101A"/>
          <w:lang w:val="it-IT"/>
        </w:rPr>
        <w:t xml:space="preserve">Arif, Abul, Peng Yao, Fulvia Terenzi, Jie Jia, Partho Sarothi Ray, and Paul L. Fox. </w:t>
      </w:r>
      <w:r>
        <w:rPr>
          <w:rFonts w:ascii="Times New Roman" w:hAnsi="Times New Roman"/>
          <w:color w:val="0E101A"/>
          <w:rtl/>
          <w:lang w:val="ar-SA"/>
        </w:rPr>
        <w:t>“</w:t>
      </w:r>
      <w:r>
        <w:rPr>
          <w:rFonts w:ascii="Times New Roman" w:hAnsi="Times New Roman"/>
          <w:color w:val="0E101A"/>
        </w:rPr>
        <w:t>The Gait Translational Control System.</w:t>
      </w:r>
      <w:r>
        <w:rPr>
          <w:rFonts w:ascii="Times New Roman" w:hAnsi="Times New Roman"/>
          <w:color w:val="0E101A"/>
        </w:rPr>
        <w:t xml:space="preserve">” </w:t>
      </w:r>
      <w:r>
        <w:rPr>
          <w:rStyle w:val="None"/>
          <w:rFonts w:ascii="Times New Roman" w:hAnsi="Times New Roman"/>
          <w:i/>
          <w:iCs/>
          <w:color w:val="0E101A"/>
          <w:lang w:val="de-DE"/>
        </w:rPr>
        <w:t>WIREs RNA</w:t>
      </w:r>
      <w:r>
        <w:rPr>
          <w:rFonts w:ascii="Times New Roman" w:hAnsi="Times New Roman"/>
          <w:color w:val="0E101A"/>
          <w:lang w:val="pt-PT"/>
        </w:rPr>
        <w:t xml:space="preserve"> 9, no. 2 (2017). https://doi.org/10.1002/wrna.1441.</w:t>
      </w:r>
    </w:p>
    <w:p w14:paraId="40185B6C"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Arif, Abul, Piyali Chatterjee, Robyn A. Moodt, and Paul L. Fox. </w:t>
      </w:r>
      <w:r>
        <w:rPr>
          <w:rFonts w:ascii="Times New Roman" w:hAnsi="Times New Roman"/>
          <w:color w:val="0E101A"/>
          <w:rtl/>
          <w:lang w:val="ar-SA"/>
        </w:rPr>
        <w:t>“</w:t>
      </w:r>
      <w:r>
        <w:rPr>
          <w:rFonts w:ascii="Times New Roman" w:hAnsi="Times New Roman"/>
          <w:color w:val="0E101A"/>
          <w:lang w:val="fr-FR"/>
        </w:rPr>
        <w:t>Heterotrimeric Gait Complex Drives Transcript-Selective Translation Inhibition in Murine Macrophages.</w:t>
      </w:r>
      <w:r>
        <w:rPr>
          <w:rFonts w:ascii="Times New Roman" w:hAnsi="Times New Roman"/>
          <w:color w:val="0E101A"/>
        </w:rPr>
        <w:t xml:space="preserve">” </w:t>
      </w:r>
      <w:r>
        <w:rPr>
          <w:rStyle w:val="None"/>
          <w:rFonts w:ascii="Times New Roman" w:hAnsi="Times New Roman"/>
          <w:i/>
          <w:iCs/>
          <w:color w:val="0E101A"/>
        </w:rPr>
        <w:t xml:space="preserve">Molecular and Cellular </w:t>
      </w:r>
      <w:r>
        <w:rPr>
          <w:rStyle w:val="None"/>
          <w:rFonts w:ascii="Times New Roman" w:hAnsi="Times New Roman"/>
          <w:i/>
          <w:iCs/>
          <w:color w:val="0E101A"/>
        </w:rPr>
        <w:t>Biology</w:t>
      </w:r>
      <w:r>
        <w:rPr>
          <w:rFonts w:ascii="Times New Roman" w:hAnsi="Times New Roman"/>
          <w:color w:val="0E101A"/>
        </w:rPr>
        <w:t xml:space="preserve"> 32, no. 24 (2012): 5046</w:t>
      </w:r>
      <w:r>
        <w:rPr>
          <w:rFonts w:ascii="Times New Roman" w:hAnsi="Times New Roman"/>
          <w:color w:val="0E101A"/>
        </w:rPr>
        <w:t>–</w:t>
      </w:r>
      <w:r>
        <w:rPr>
          <w:rFonts w:ascii="Times New Roman" w:hAnsi="Times New Roman"/>
          <w:color w:val="0E101A"/>
        </w:rPr>
        <w:t>55. https://doi.org/10.1128/mcb.01168-12.</w:t>
      </w:r>
    </w:p>
    <w:p w14:paraId="01781694" w14:textId="77777777" w:rsidR="002F1423" w:rsidRDefault="00927F0D">
      <w:pPr>
        <w:pStyle w:val="Default"/>
        <w:numPr>
          <w:ilvl w:val="0"/>
          <w:numId w:val="2"/>
        </w:numPr>
        <w:spacing w:before="0" w:line="240" w:lineRule="auto"/>
        <w:rPr>
          <w:rFonts w:ascii="Times New Roman" w:hAnsi="Times New Roman"/>
          <w:color w:val="0E101A"/>
          <w:lang w:val="nl-NL"/>
        </w:rPr>
      </w:pPr>
      <w:r>
        <w:rPr>
          <w:rFonts w:ascii="Times New Roman" w:hAnsi="Times New Roman"/>
          <w:color w:val="0E101A"/>
          <w:lang w:val="nl-NL"/>
        </w:rPr>
        <w:t xml:space="preserve">Stienstra, Rinke, Romana T. Netea-Maier, Niels P. Riksen, Leo A.B. Joosten, and Mihai G. Netea. </w:t>
      </w:r>
      <w:r>
        <w:rPr>
          <w:rFonts w:ascii="Times New Roman" w:hAnsi="Times New Roman"/>
          <w:color w:val="0E101A"/>
          <w:rtl/>
          <w:lang w:val="ar-SA"/>
        </w:rPr>
        <w:t>“</w:t>
      </w:r>
      <w:r>
        <w:rPr>
          <w:rFonts w:ascii="Times New Roman" w:hAnsi="Times New Roman"/>
          <w:color w:val="0E101A"/>
        </w:rPr>
        <w:t>Specific and Complex Reprogramming of Cellular Metabolism in Myeloid Cells during Innate Immune Responses.</w:t>
      </w:r>
      <w:r>
        <w:rPr>
          <w:rFonts w:ascii="Times New Roman" w:hAnsi="Times New Roman"/>
          <w:color w:val="0E101A"/>
        </w:rPr>
        <w:t xml:space="preserve">” </w:t>
      </w:r>
      <w:r>
        <w:rPr>
          <w:rStyle w:val="None"/>
          <w:rFonts w:ascii="Times New Roman" w:hAnsi="Times New Roman"/>
          <w:i/>
          <w:iCs/>
          <w:color w:val="0E101A"/>
        </w:rPr>
        <w:t>Cell Metabolism</w:t>
      </w:r>
      <w:r>
        <w:rPr>
          <w:rFonts w:ascii="Times New Roman" w:hAnsi="Times New Roman"/>
          <w:color w:val="0E101A"/>
        </w:rPr>
        <w:t xml:space="preserve"> 26, no. 1 (2017): 142</w:t>
      </w:r>
      <w:r>
        <w:rPr>
          <w:rFonts w:ascii="Times New Roman" w:hAnsi="Times New Roman"/>
          <w:color w:val="0E101A"/>
        </w:rPr>
        <w:t>–</w:t>
      </w:r>
      <w:r>
        <w:rPr>
          <w:rFonts w:ascii="Times New Roman" w:hAnsi="Times New Roman"/>
          <w:color w:val="0E101A"/>
        </w:rPr>
        <w:t xml:space="preserve">56. </w:t>
      </w:r>
      <w:r>
        <w:rPr>
          <w:rFonts w:ascii="Times New Roman" w:hAnsi="Times New Roman"/>
          <w:color w:val="0E101A"/>
        </w:rPr>
        <w:t>https://doi.org/10.1016/j.cmet.2017.06.001.</w:t>
      </w:r>
    </w:p>
    <w:p w14:paraId="7706E528"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Chang, Chih-Hao, Jonathan</w:t>
      </w:r>
      <w:r>
        <w:rPr>
          <w:rFonts w:ascii="Times New Roman" w:hAnsi="Times New Roman"/>
          <w:color w:val="0E101A"/>
        </w:rPr>
        <w:t> </w:t>
      </w:r>
      <w:r>
        <w:rPr>
          <w:rFonts w:ascii="Times New Roman" w:hAnsi="Times New Roman"/>
          <w:color w:val="0E101A"/>
        </w:rPr>
        <w:t>D. Curtis, Leonard</w:t>
      </w:r>
      <w:r>
        <w:rPr>
          <w:rFonts w:ascii="Times New Roman" w:hAnsi="Times New Roman"/>
          <w:color w:val="0E101A"/>
        </w:rPr>
        <w:t> </w:t>
      </w:r>
      <w:r>
        <w:rPr>
          <w:rFonts w:ascii="Times New Roman" w:hAnsi="Times New Roman"/>
          <w:color w:val="0E101A"/>
          <w:lang w:val="it-IT"/>
        </w:rPr>
        <w:t>B. Maggi, Brandon Faubert, Alejandro</w:t>
      </w:r>
      <w:r>
        <w:rPr>
          <w:rFonts w:ascii="Times New Roman" w:hAnsi="Times New Roman"/>
          <w:color w:val="0E101A"/>
        </w:rPr>
        <w:t> </w:t>
      </w:r>
      <w:r>
        <w:rPr>
          <w:rFonts w:ascii="Times New Roman" w:hAnsi="Times New Roman"/>
          <w:color w:val="0E101A"/>
          <w:lang w:val="it-IT"/>
        </w:rPr>
        <w:t>V. Villarino, David O</w:t>
      </w:r>
      <w:r>
        <w:rPr>
          <w:rFonts w:ascii="Times New Roman" w:hAnsi="Times New Roman"/>
          <w:color w:val="0E101A"/>
          <w:rtl/>
        </w:rPr>
        <w:t>’</w:t>
      </w:r>
      <w:r>
        <w:rPr>
          <w:rFonts w:ascii="Times New Roman" w:hAnsi="Times New Roman"/>
          <w:color w:val="0E101A"/>
        </w:rPr>
        <w:t>Sullivan, Stanley</w:t>
      </w:r>
      <w:r>
        <w:rPr>
          <w:rFonts w:ascii="Times New Roman" w:hAnsi="Times New Roman"/>
          <w:color w:val="0E101A"/>
        </w:rPr>
        <w:t> </w:t>
      </w:r>
      <w:r>
        <w:rPr>
          <w:rFonts w:ascii="Times New Roman" w:hAnsi="Times New Roman"/>
          <w:color w:val="0E101A"/>
        </w:rPr>
        <w:t xml:space="preserve">Ching-Cheng Huang, et al. </w:t>
      </w:r>
      <w:r>
        <w:rPr>
          <w:rFonts w:ascii="Times New Roman" w:hAnsi="Times New Roman"/>
          <w:color w:val="0E101A"/>
          <w:rtl/>
          <w:lang w:val="ar-SA"/>
        </w:rPr>
        <w:t>“</w:t>
      </w:r>
      <w:r>
        <w:rPr>
          <w:rFonts w:ascii="Times New Roman" w:hAnsi="Times New Roman"/>
          <w:color w:val="0E101A"/>
        </w:rPr>
        <w:t xml:space="preserve">Posttranscriptional Control of T Cell Effector Function by </w:t>
      </w:r>
      <w:r>
        <w:rPr>
          <w:rFonts w:ascii="Times New Roman" w:hAnsi="Times New Roman"/>
          <w:color w:val="0E101A"/>
        </w:rPr>
        <w:t>Aerobic Glycolysis.</w:t>
      </w:r>
      <w:r>
        <w:rPr>
          <w:rFonts w:ascii="Times New Roman" w:hAnsi="Times New Roman"/>
          <w:color w:val="0E101A"/>
        </w:rPr>
        <w:t xml:space="preserve">” </w:t>
      </w:r>
      <w:r>
        <w:rPr>
          <w:rStyle w:val="None"/>
          <w:rFonts w:ascii="Times New Roman" w:hAnsi="Times New Roman"/>
          <w:i/>
          <w:iCs/>
          <w:color w:val="0E101A"/>
          <w:lang w:val="it-IT"/>
        </w:rPr>
        <w:t>Cell</w:t>
      </w:r>
      <w:r>
        <w:rPr>
          <w:rFonts w:ascii="Times New Roman" w:hAnsi="Times New Roman"/>
          <w:color w:val="0E101A"/>
        </w:rPr>
        <w:t xml:space="preserve"> 153, no. 6 (2013): 1239</w:t>
      </w:r>
      <w:r>
        <w:rPr>
          <w:rFonts w:ascii="Times New Roman" w:hAnsi="Times New Roman"/>
          <w:color w:val="0E101A"/>
        </w:rPr>
        <w:t>–</w:t>
      </w:r>
      <w:r>
        <w:rPr>
          <w:rFonts w:ascii="Times New Roman" w:hAnsi="Times New Roman"/>
          <w:color w:val="0E101A"/>
        </w:rPr>
        <w:t>51. https://doi.org/10.1016/j.cell.2013.05.016.</w:t>
      </w:r>
    </w:p>
    <w:p w14:paraId="5E9234FA"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Gumaa, K. A., and Patricia McLean. </w:t>
      </w:r>
      <w:r>
        <w:rPr>
          <w:rFonts w:ascii="Times New Roman" w:hAnsi="Times New Roman"/>
          <w:color w:val="0E101A"/>
          <w:rtl/>
          <w:lang w:val="ar-SA"/>
        </w:rPr>
        <w:t>“</w:t>
      </w:r>
      <w:r>
        <w:rPr>
          <w:rFonts w:ascii="Times New Roman" w:hAnsi="Times New Roman"/>
          <w:color w:val="0E101A"/>
        </w:rPr>
        <w:t xml:space="preserve">The Pentose Phosphate Pathway of Glucose Metabolism. Enzyme Profiles and Transient and Steady-State Content of </w:t>
      </w:r>
      <w:r>
        <w:rPr>
          <w:rFonts w:ascii="Times New Roman" w:hAnsi="Times New Roman"/>
          <w:color w:val="0E101A"/>
        </w:rPr>
        <w:t>Intermediates of Alternative Pathways of Glucose Metabolism in Krebs Ascites Cells.</w:t>
      </w:r>
      <w:r>
        <w:rPr>
          <w:rFonts w:ascii="Times New Roman" w:hAnsi="Times New Roman"/>
          <w:color w:val="0E101A"/>
        </w:rPr>
        <w:t xml:space="preserve">” </w:t>
      </w:r>
      <w:r>
        <w:rPr>
          <w:rStyle w:val="None"/>
          <w:rFonts w:ascii="Times New Roman" w:hAnsi="Times New Roman"/>
          <w:i/>
          <w:iCs/>
          <w:color w:val="0E101A"/>
          <w:lang w:val="it-IT"/>
        </w:rPr>
        <w:t>Biochemical Journal</w:t>
      </w:r>
      <w:r>
        <w:rPr>
          <w:rFonts w:ascii="Times New Roman" w:hAnsi="Times New Roman"/>
          <w:color w:val="0E101A"/>
        </w:rPr>
        <w:t xml:space="preserve"> 115, no. 5 (1969): 1009</w:t>
      </w:r>
      <w:r>
        <w:rPr>
          <w:rFonts w:ascii="Times New Roman" w:hAnsi="Times New Roman"/>
          <w:color w:val="0E101A"/>
        </w:rPr>
        <w:t>–</w:t>
      </w:r>
      <w:r>
        <w:rPr>
          <w:rFonts w:ascii="Times New Roman" w:hAnsi="Times New Roman"/>
          <w:color w:val="0E101A"/>
        </w:rPr>
        <w:t xml:space="preserve">29. https://doi.org/10.1042/bj1151009. </w:t>
      </w:r>
    </w:p>
    <w:p w14:paraId="2A075388"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Araujo, Lindsey, Phillip Khim, Haik Mkhikian, Christie-Lynn Mortales, and Michael Demetriou. </w:t>
      </w:r>
      <w:r>
        <w:rPr>
          <w:rFonts w:ascii="Times New Roman" w:hAnsi="Times New Roman"/>
          <w:color w:val="0E101A"/>
          <w:rtl/>
          <w:lang w:val="ar-SA"/>
        </w:rPr>
        <w:t>“</w:t>
      </w:r>
      <w:r>
        <w:rPr>
          <w:rFonts w:ascii="Times New Roman" w:hAnsi="Times New Roman"/>
          <w:color w:val="0E101A"/>
        </w:rPr>
        <w:t>Glycolysis and Glutaminolysis Cooperatively Control T Cell Function by Limiting Metabolite Supply to N-Glycosylation.</w:t>
      </w:r>
      <w:r>
        <w:rPr>
          <w:rFonts w:ascii="Times New Roman" w:hAnsi="Times New Roman"/>
          <w:color w:val="0E101A"/>
        </w:rPr>
        <w:t xml:space="preserve">” </w:t>
      </w:r>
      <w:r>
        <w:rPr>
          <w:rStyle w:val="None"/>
          <w:rFonts w:ascii="Times New Roman" w:hAnsi="Times New Roman"/>
          <w:i/>
          <w:iCs/>
          <w:color w:val="0E101A"/>
        </w:rPr>
        <w:t>eLife</w:t>
      </w:r>
      <w:r>
        <w:rPr>
          <w:rFonts w:ascii="Times New Roman" w:hAnsi="Times New Roman"/>
          <w:color w:val="0E101A"/>
        </w:rPr>
        <w:t xml:space="preserve"> 6 (2017). https://doi.org/10.7554/elife.21330.</w:t>
      </w:r>
    </w:p>
    <w:p w14:paraId="761C53C8"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Chatham, John C., Laszlo G. N</w:t>
      </w:r>
      <w:r>
        <w:rPr>
          <w:rFonts w:ascii="Times New Roman" w:hAnsi="Times New Roman"/>
          <w:color w:val="0E101A"/>
          <w:lang w:val="sv-SE"/>
        </w:rPr>
        <w:t>ö</w:t>
      </w:r>
      <w:r>
        <w:rPr>
          <w:rFonts w:ascii="Times New Roman" w:hAnsi="Times New Roman"/>
          <w:color w:val="0E101A"/>
          <w:lang w:val="de-DE"/>
        </w:rPr>
        <w:t>t, Norbert F</w:t>
      </w:r>
      <w:r>
        <w:rPr>
          <w:rFonts w:ascii="Times New Roman" w:hAnsi="Times New Roman"/>
          <w:color w:val="0E101A"/>
        </w:rPr>
        <w:t>ü</w:t>
      </w:r>
      <w:r>
        <w:rPr>
          <w:rFonts w:ascii="Times New Roman" w:hAnsi="Times New Roman"/>
          <w:color w:val="0E101A"/>
        </w:rPr>
        <w:t>l</w:t>
      </w:r>
      <w:r>
        <w:rPr>
          <w:rFonts w:ascii="Times New Roman" w:hAnsi="Times New Roman"/>
          <w:color w:val="0E101A"/>
          <w:lang w:val="sv-SE"/>
        </w:rPr>
        <w:t>ö</w:t>
      </w:r>
      <w:r>
        <w:rPr>
          <w:rFonts w:ascii="Times New Roman" w:hAnsi="Times New Roman"/>
          <w:color w:val="0E101A"/>
        </w:rPr>
        <w:t xml:space="preserve">p, and Richard B. Marchase. </w:t>
      </w:r>
      <w:r>
        <w:rPr>
          <w:rFonts w:ascii="Times New Roman" w:hAnsi="Times New Roman"/>
          <w:color w:val="0E101A"/>
          <w:rtl/>
          <w:lang w:val="ar-SA"/>
        </w:rPr>
        <w:t>“</w:t>
      </w:r>
      <w:r>
        <w:rPr>
          <w:rFonts w:ascii="Times New Roman" w:hAnsi="Times New Roman"/>
          <w:color w:val="0E101A"/>
        </w:rPr>
        <w:t>Hexosamine Biosynthesis and Protein O-Glycosylation.</w:t>
      </w:r>
      <w:r>
        <w:rPr>
          <w:rFonts w:ascii="Times New Roman" w:hAnsi="Times New Roman"/>
          <w:color w:val="0E101A"/>
        </w:rPr>
        <w:t xml:space="preserve">” </w:t>
      </w:r>
      <w:r>
        <w:rPr>
          <w:rStyle w:val="None"/>
          <w:rFonts w:ascii="Times New Roman" w:hAnsi="Times New Roman"/>
          <w:i/>
          <w:iCs/>
          <w:color w:val="0E101A"/>
        </w:rPr>
        <w:t>Shock</w:t>
      </w:r>
      <w:r>
        <w:rPr>
          <w:rFonts w:ascii="Times New Roman" w:hAnsi="Times New Roman"/>
          <w:color w:val="0E101A"/>
        </w:rPr>
        <w:t xml:space="preserve"> 29, no. 4 (2008): 431</w:t>
      </w:r>
      <w:r>
        <w:rPr>
          <w:rFonts w:ascii="Times New Roman" w:hAnsi="Times New Roman"/>
          <w:color w:val="0E101A"/>
        </w:rPr>
        <w:t>–</w:t>
      </w:r>
      <w:r>
        <w:rPr>
          <w:rFonts w:ascii="Times New Roman" w:hAnsi="Times New Roman"/>
          <w:color w:val="0E101A"/>
        </w:rPr>
        <w:t xml:space="preserve">40. </w:t>
      </w:r>
      <w:r>
        <w:rPr>
          <w:rFonts w:ascii="Times New Roman" w:hAnsi="Times New Roman"/>
          <w:color w:val="0E101A"/>
        </w:rPr>
        <w:t>https://doi.org/10.1097/shk.0b013e3181598bad.</w:t>
      </w:r>
    </w:p>
    <w:p w14:paraId="37C71585"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Teo, Chin Fen, Edith E. Wollaston-Hayden, and Lance Wells. </w:t>
      </w:r>
      <w:r>
        <w:rPr>
          <w:rFonts w:ascii="Times New Roman" w:hAnsi="Times New Roman"/>
          <w:color w:val="0E101A"/>
          <w:rtl/>
          <w:lang w:val="ar-SA"/>
        </w:rPr>
        <w:t>“</w:t>
      </w:r>
      <w:r>
        <w:rPr>
          <w:rFonts w:ascii="Times New Roman" w:hAnsi="Times New Roman"/>
          <w:color w:val="0E101A"/>
        </w:rPr>
        <w:t>Hexosamine Flux, the O-Glcnac Modification, and the Development of Insulin Resistance in Adipocytes.</w:t>
      </w:r>
      <w:r>
        <w:rPr>
          <w:rFonts w:ascii="Times New Roman" w:hAnsi="Times New Roman"/>
          <w:color w:val="0E101A"/>
        </w:rPr>
        <w:t xml:space="preserve">” </w:t>
      </w:r>
      <w:r>
        <w:rPr>
          <w:rStyle w:val="None"/>
          <w:rFonts w:ascii="Times New Roman" w:hAnsi="Times New Roman"/>
          <w:i/>
          <w:iCs/>
          <w:color w:val="0E101A"/>
        </w:rPr>
        <w:t xml:space="preserve">Molecular and Cellular </w:t>
      </w:r>
      <w:r>
        <w:rPr>
          <w:rStyle w:val="None"/>
          <w:rFonts w:ascii="Times New Roman" w:hAnsi="Times New Roman"/>
          <w:i/>
          <w:iCs/>
          <w:color w:val="0E101A"/>
        </w:rPr>
        <w:t>Endocrinology</w:t>
      </w:r>
      <w:r>
        <w:rPr>
          <w:rFonts w:ascii="Times New Roman" w:hAnsi="Times New Roman"/>
          <w:color w:val="0E101A"/>
        </w:rPr>
        <w:t xml:space="preserve"> 318, no. 1-2 (2010): 44</w:t>
      </w:r>
      <w:r>
        <w:rPr>
          <w:rFonts w:ascii="Times New Roman" w:hAnsi="Times New Roman"/>
          <w:color w:val="0E101A"/>
        </w:rPr>
        <w:t>–</w:t>
      </w:r>
      <w:r>
        <w:rPr>
          <w:rFonts w:ascii="Times New Roman" w:hAnsi="Times New Roman"/>
          <w:color w:val="0E101A"/>
        </w:rPr>
        <w:t>53. https://doi.org/10.1016/j.mce.2009.09.022.</w:t>
      </w:r>
    </w:p>
    <w:p w14:paraId="6B915E83"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Ö</w:t>
      </w:r>
      <w:r>
        <w:rPr>
          <w:rFonts w:ascii="Times New Roman" w:hAnsi="Times New Roman"/>
          <w:color w:val="0E101A"/>
        </w:rPr>
        <w:t xml:space="preserve">zcan, Sabire, Sreenath S. Andrali, and Jamie E.L. Cantrell. </w:t>
      </w:r>
      <w:r>
        <w:rPr>
          <w:rFonts w:ascii="Times New Roman" w:hAnsi="Times New Roman"/>
          <w:color w:val="0E101A"/>
          <w:rtl/>
          <w:lang w:val="ar-SA"/>
        </w:rPr>
        <w:t>“</w:t>
      </w:r>
      <w:r>
        <w:rPr>
          <w:rFonts w:ascii="Times New Roman" w:hAnsi="Times New Roman"/>
          <w:color w:val="0E101A"/>
        </w:rPr>
        <w:t>Modulation of Transcription Factor Function by O-Glcnac Modification.</w:t>
      </w:r>
      <w:r>
        <w:rPr>
          <w:rFonts w:ascii="Times New Roman" w:hAnsi="Times New Roman"/>
          <w:color w:val="0E101A"/>
        </w:rPr>
        <w:t xml:space="preserve">” </w:t>
      </w:r>
      <w:r>
        <w:rPr>
          <w:rStyle w:val="None"/>
          <w:rFonts w:ascii="Times New Roman" w:hAnsi="Times New Roman"/>
          <w:i/>
          <w:iCs/>
          <w:color w:val="0E101A"/>
          <w:lang w:val="it-IT"/>
        </w:rPr>
        <w:t xml:space="preserve">Biochimica et Biophysica Acta </w:t>
      </w:r>
      <w:r>
        <w:rPr>
          <w:rStyle w:val="None"/>
          <w:rFonts w:ascii="Times New Roman" w:hAnsi="Times New Roman"/>
          <w:i/>
          <w:iCs/>
          <w:color w:val="0E101A"/>
          <w:lang w:val="it-IT"/>
        </w:rPr>
        <w:t>(BBA) - Gene Regulatory Mechanisms</w:t>
      </w:r>
      <w:r>
        <w:rPr>
          <w:rFonts w:ascii="Times New Roman" w:hAnsi="Times New Roman"/>
          <w:color w:val="0E101A"/>
        </w:rPr>
        <w:t xml:space="preserve"> 1799, no. 5-6 (2010): 353</w:t>
      </w:r>
      <w:r>
        <w:rPr>
          <w:rFonts w:ascii="Times New Roman" w:hAnsi="Times New Roman"/>
          <w:color w:val="0E101A"/>
        </w:rPr>
        <w:t>–</w:t>
      </w:r>
      <w:r>
        <w:rPr>
          <w:rFonts w:ascii="Times New Roman" w:hAnsi="Times New Roman"/>
          <w:color w:val="0E101A"/>
        </w:rPr>
        <w:t>64. https://doi.org/10.1016/j.bbagrm.2010.02.005.</w:t>
      </w:r>
    </w:p>
    <w:p w14:paraId="42E3C791"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Park, Seung Yoon, Jiwon Ryu, and Wan Lee. </w:t>
      </w:r>
      <w:r>
        <w:rPr>
          <w:rFonts w:ascii="Times New Roman" w:hAnsi="Times New Roman"/>
          <w:color w:val="0E101A"/>
          <w:rtl/>
          <w:lang w:val="ar-SA"/>
        </w:rPr>
        <w:t>“</w:t>
      </w:r>
      <w:r>
        <w:rPr>
          <w:rFonts w:ascii="Times New Roman" w:hAnsi="Times New Roman"/>
          <w:color w:val="0E101A"/>
        </w:rPr>
        <w:t xml:space="preserve">O-Glcnac Modification on IRS-1 and AKT2 by Pugnac Inhibits Their Phosphorylation and Induces </w:t>
      </w:r>
      <w:r>
        <w:rPr>
          <w:rFonts w:ascii="Times New Roman" w:hAnsi="Times New Roman"/>
          <w:color w:val="0E101A"/>
        </w:rPr>
        <w:t>Insulin Resistance in Rat Primary Adipocytes.</w:t>
      </w:r>
      <w:r>
        <w:rPr>
          <w:rFonts w:ascii="Times New Roman" w:hAnsi="Times New Roman"/>
          <w:color w:val="0E101A"/>
        </w:rPr>
        <w:t xml:space="preserve">” </w:t>
      </w:r>
      <w:r>
        <w:rPr>
          <w:rStyle w:val="None"/>
          <w:rFonts w:ascii="Times New Roman" w:hAnsi="Times New Roman"/>
          <w:i/>
          <w:iCs/>
          <w:color w:val="0E101A"/>
          <w:lang w:val="pt-PT"/>
        </w:rPr>
        <w:t>Experimental &amp; Molecular Medicine</w:t>
      </w:r>
      <w:r>
        <w:rPr>
          <w:rFonts w:ascii="Times New Roman" w:hAnsi="Times New Roman"/>
          <w:color w:val="0E101A"/>
        </w:rPr>
        <w:t>37, no. 3 (2005): 220</w:t>
      </w:r>
      <w:r>
        <w:rPr>
          <w:rFonts w:ascii="Times New Roman" w:hAnsi="Times New Roman"/>
          <w:color w:val="0E101A"/>
        </w:rPr>
        <w:t>–</w:t>
      </w:r>
      <w:r>
        <w:rPr>
          <w:rFonts w:ascii="Times New Roman" w:hAnsi="Times New Roman"/>
          <w:color w:val="0E101A"/>
          <w:lang w:val="pt-PT"/>
        </w:rPr>
        <w:t>29. https://doi.org/10.1038/emm.2005.30.</w:t>
      </w:r>
    </w:p>
    <w:p w14:paraId="376BE8CF"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Vosseller, Keith, Lance Wells, M. Daniel Lane, and Gerald W. Hart. </w:t>
      </w:r>
      <w:r>
        <w:rPr>
          <w:rFonts w:ascii="Times New Roman" w:hAnsi="Times New Roman"/>
          <w:color w:val="0E101A"/>
          <w:rtl/>
          <w:lang w:val="ar-SA"/>
        </w:rPr>
        <w:t>“</w:t>
      </w:r>
      <w:r>
        <w:rPr>
          <w:rFonts w:ascii="Times New Roman" w:hAnsi="Times New Roman"/>
          <w:color w:val="0E101A"/>
        </w:rPr>
        <w:t>Elevated Nucleocytoplasmic Glycosylation by O-Glcnac Results in Insulin Resistance Associated with Defects in Akt Activation in 3T3-L1 Adipocytes.</w:t>
      </w:r>
      <w:r>
        <w:rPr>
          <w:rFonts w:ascii="Times New Roman" w:hAnsi="Times New Roman"/>
          <w:color w:val="0E101A"/>
        </w:rPr>
        <w:t xml:space="preserve">” </w:t>
      </w:r>
      <w:r>
        <w:rPr>
          <w:rStyle w:val="None"/>
          <w:rFonts w:ascii="Times New Roman" w:hAnsi="Times New Roman"/>
          <w:i/>
          <w:iCs/>
          <w:color w:val="0E101A"/>
        </w:rPr>
        <w:t>Proceedings of the National Academy of S</w:t>
      </w:r>
      <w:r>
        <w:rPr>
          <w:rStyle w:val="None"/>
          <w:rFonts w:ascii="Times New Roman" w:hAnsi="Times New Roman"/>
          <w:i/>
          <w:iCs/>
          <w:color w:val="0E101A"/>
        </w:rPr>
        <w:t>ciences</w:t>
      </w:r>
      <w:r>
        <w:rPr>
          <w:rFonts w:ascii="Times New Roman" w:hAnsi="Times New Roman"/>
          <w:color w:val="0E101A"/>
        </w:rPr>
        <w:t xml:space="preserve"> 99, no. 8 (2002): 5313</w:t>
      </w:r>
      <w:r>
        <w:rPr>
          <w:rFonts w:ascii="Times New Roman" w:hAnsi="Times New Roman"/>
          <w:color w:val="0E101A"/>
        </w:rPr>
        <w:t>–</w:t>
      </w:r>
      <w:r>
        <w:rPr>
          <w:rFonts w:ascii="Times New Roman" w:hAnsi="Times New Roman"/>
          <w:color w:val="0E101A"/>
          <w:lang w:val="pt-PT"/>
        </w:rPr>
        <w:t>18. https://doi.org/10.1073/pnas.072072399.</w:t>
      </w:r>
    </w:p>
    <w:p w14:paraId="41CF0C97"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Kamemura, Kazuo, and Gerald W Hart. </w:t>
      </w:r>
      <w:r>
        <w:rPr>
          <w:rFonts w:ascii="Times New Roman" w:hAnsi="Times New Roman"/>
          <w:color w:val="0E101A"/>
          <w:rtl/>
          <w:lang w:val="ar-SA"/>
        </w:rPr>
        <w:t>“</w:t>
      </w:r>
      <w:r>
        <w:rPr>
          <w:rFonts w:ascii="Times New Roman" w:hAnsi="Times New Roman"/>
          <w:color w:val="0E101A"/>
        </w:rPr>
        <w:t xml:space="preserve">Dynamic Interplay between O-Glycosylation and O-Phosphorylation of Nucleocytoplasmic Proteins: A New Paradigm for Metabolic Control of </w:t>
      </w:r>
      <w:r>
        <w:rPr>
          <w:rFonts w:ascii="Times New Roman" w:hAnsi="Times New Roman"/>
          <w:color w:val="0E101A"/>
        </w:rPr>
        <w:t>Signal Transduction and Transcription.</w:t>
      </w:r>
      <w:r>
        <w:rPr>
          <w:rFonts w:ascii="Times New Roman" w:hAnsi="Times New Roman"/>
          <w:color w:val="0E101A"/>
        </w:rPr>
        <w:t xml:space="preserve">” </w:t>
      </w:r>
      <w:r>
        <w:rPr>
          <w:rStyle w:val="None"/>
          <w:rFonts w:ascii="Times New Roman" w:hAnsi="Times New Roman"/>
          <w:i/>
          <w:iCs/>
          <w:color w:val="0E101A"/>
        </w:rPr>
        <w:t>Progress in Nucleic Acid Research and Molecular Biology</w:t>
      </w:r>
      <w:r>
        <w:rPr>
          <w:rFonts w:ascii="Times New Roman" w:hAnsi="Times New Roman"/>
          <w:color w:val="0E101A"/>
        </w:rPr>
        <w:t>, 2003, 107</w:t>
      </w:r>
      <w:r>
        <w:rPr>
          <w:rFonts w:ascii="Times New Roman" w:hAnsi="Times New Roman"/>
          <w:color w:val="0E101A"/>
        </w:rPr>
        <w:t>–</w:t>
      </w:r>
      <w:r>
        <w:rPr>
          <w:rFonts w:ascii="Times New Roman" w:hAnsi="Times New Roman"/>
          <w:color w:val="0E101A"/>
        </w:rPr>
        <w:t>36. https://doi.org/10.1016/s0079-6603(03)01004-3.</w:t>
      </w:r>
    </w:p>
    <w:p w14:paraId="3F22C9F5" w14:textId="77777777" w:rsidR="002F1423" w:rsidRDefault="00927F0D">
      <w:pPr>
        <w:pStyle w:val="Default"/>
        <w:numPr>
          <w:ilvl w:val="0"/>
          <w:numId w:val="2"/>
        </w:numPr>
        <w:spacing w:before="0" w:line="240" w:lineRule="auto"/>
        <w:rPr>
          <w:rFonts w:ascii="Times New Roman" w:hAnsi="Times New Roman"/>
          <w:color w:val="0E101A"/>
          <w:lang w:val="de-DE"/>
        </w:rPr>
      </w:pPr>
      <w:r>
        <w:rPr>
          <w:rFonts w:ascii="Times New Roman" w:hAnsi="Times New Roman"/>
          <w:color w:val="0E101A"/>
          <w:lang w:val="de-DE"/>
        </w:rPr>
        <w:t xml:space="preserve">Lim, Jae-Min, Edith E Wollaston-Hayden, Chin Fen Teo, Dorothy Hausman, and Lance Wells. </w:t>
      </w:r>
      <w:r>
        <w:rPr>
          <w:rFonts w:ascii="Times New Roman" w:hAnsi="Times New Roman"/>
          <w:color w:val="0E101A"/>
          <w:rtl/>
          <w:lang w:val="ar-SA"/>
        </w:rPr>
        <w:t>“</w:t>
      </w:r>
      <w:r>
        <w:rPr>
          <w:rFonts w:ascii="Times New Roman" w:hAnsi="Times New Roman"/>
          <w:color w:val="0E101A"/>
        </w:rPr>
        <w:t>Quantitative Secretome and Glycome of Primary Human Adipocytes during Insulin Resistance.</w:t>
      </w:r>
      <w:r>
        <w:rPr>
          <w:rFonts w:ascii="Times New Roman" w:hAnsi="Times New Roman"/>
          <w:color w:val="0E101A"/>
        </w:rPr>
        <w:t xml:space="preserve">” </w:t>
      </w:r>
      <w:r>
        <w:rPr>
          <w:rStyle w:val="None"/>
          <w:rFonts w:ascii="Times New Roman" w:hAnsi="Times New Roman"/>
          <w:i/>
          <w:iCs/>
          <w:color w:val="0E101A"/>
        </w:rPr>
        <w:t>Clinical Proteomics</w:t>
      </w:r>
      <w:r>
        <w:rPr>
          <w:rFonts w:ascii="Times New Roman" w:hAnsi="Times New Roman"/>
          <w:color w:val="0E101A"/>
          <w:lang w:val="pt-PT"/>
        </w:rPr>
        <w:t xml:space="preserve"> 11, no. 1 (2014). https://doi.org/10.1186/1559-0275-11-20.</w:t>
      </w:r>
    </w:p>
    <w:p w14:paraId="34AA9253"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Buse, Maria G. </w:t>
      </w:r>
      <w:r>
        <w:rPr>
          <w:rFonts w:ascii="Times New Roman" w:hAnsi="Times New Roman"/>
          <w:color w:val="0E101A"/>
          <w:rtl/>
          <w:lang w:val="ar-SA"/>
        </w:rPr>
        <w:t>“</w:t>
      </w:r>
      <w:r>
        <w:rPr>
          <w:rFonts w:ascii="Times New Roman" w:hAnsi="Times New Roman"/>
          <w:color w:val="0E101A"/>
        </w:rPr>
        <w:t>Hexosamines, Insulin Resistance, and the Complications of Diabetes: Current Status.</w:t>
      </w:r>
      <w:r>
        <w:rPr>
          <w:rFonts w:ascii="Times New Roman" w:hAnsi="Times New Roman"/>
          <w:color w:val="0E101A"/>
        </w:rPr>
        <w:t xml:space="preserve">” </w:t>
      </w:r>
      <w:r>
        <w:rPr>
          <w:rStyle w:val="None"/>
          <w:rFonts w:ascii="Times New Roman" w:hAnsi="Times New Roman"/>
          <w:i/>
          <w:iCs/>
          <w:color w:val="0E101A"/>
        </w:rPr>
        <w:t>American Journal of Physiology-Endocrinology and Metabolism</w:t>
      </w:r>
      <w:r>
        <w:rPr>
          <w:rFonts w:ascii="Times New Roman" w:hAnsi="Times New Roman"/>
          <w:color w:val="0E101A"/>
          <w:lang w:val="pt-PT"/>
        </w:rPr>
        <w:t xml:space="preserve"> 290, no. 1 (2006). https://doi.org/10.1152/ajpendo.00329.2005. </w:t>
      </w:r>
    </w:p>
    <w:p w14:paraId="0EBC3739" w14:textId="77777777" w:rsidR="002F1423" w:rsidRDefault="00927F0D">
      <w:pPr>
        <w:pStyle w:val="Default"/>
        <w:numPr>
          <w:ilvl w:val="0"/>
          <w:numId w:val="2"/>
        </w:numPr>
        <w:spacing w:before="0" w:line="240" w:lineRule="auto"/>
        <w:rPr>
          <w:rFonts w:ascii="Times New Roman" w:hAnsi="Times New Roman"/>
          <w:color w:val="0E101A"/>
          <w:lang w:val="fr-FR"/>
        </w:rPr>
      </w:pPr>
      <w:r>
        <w:rPr>
          <w:rFonts w:ascii="Times New Roman" w:hAnsi="Times New Roman"/>
          <w:color w:val="0E101A"/>
          <w:lang w:val="fr-FR"/>
        </w:rPr>
        <w:t xml:space="preserve">Charbonnier, Louis-Marie, Ye Cui, Emmanuel Stephen-Victor, Hani Harb, David Lopez, Jack J. Bleesing, Maria I. Garcia-Lloret, et al. </w:t>
      </w:r>
      <w:r>
        <w:rPr>
          <w:rFonts w:ascii="Times New Roman" w:hAnsi="Times New Roman"/>
          <w:color w:val="0E101A"/>
          <w:rtl/>
          <w:lang w:val="ar-SA"/>
        </w:rPr>
        <w:t>“</w:t>
      </w:r>
      <w:r>
        <w:rPr>
          <w:rFonts w:ascii="Times New Roman" w:hAnsi="Times New Roman"/>
          <w:color w:val="0E101A"/>
        </w:rPr>
        <w:t>Functional Reprogramming of Regulatory T Cells in the Absence of Foxp3.</w:t>
      </w:r>
      <w:r>
        <w:rPr>
          <w:rFonts w:ascii="Times New Roman" w:hAnsi="Times New Roman"/>
          <w:color w:val="0E101A"/>
        </w:rPr>
        <w:t xml:space="preserve">” </w:t>
      </w:r>
      <w:r>
        <w:rPr>
          <w:rStyle w:val="None"/>
          <w:rFonts w:ascii="Times New Roman" w:hAnsi="Times New Roman"/>
          <w:i/>
          <w:iCs/>
          <w:color w:val="0E101A"/>
        </w:rPr>
        <w:t>Nature Immunology</w:t>
      </w:r>
      <w:r>
        <w:rPr>
          <w:rFonts w:ascii="Times New Roman" w:hAnsi="Times New Roman"/>
          <w:color w:val="0E101A"/>
        </w:rPr>
        <w:t xml:space="preserve"> 20, no. 9 (2019): 1208</w:t>
      </w:r>
      <w:r>
        <w:rPr>
          <w:rFonts w:ascii="Times New Roman" w:hAnsi="Times New Roman"/>
          <w:color w:val="0E101A"/>
        </w:rPr>
        <w:t>–</w:t>
      </w:r>
      <w:r>
        <w:rPr>
          <w:rFonts w:ascii="Times New Roman" w:hAnsi="Times New Roman"/>
          <w:color w:val="0E101A"/>
        </w:rPr>
        <w:t xml:space="preserve">19. </w:t>
      </w:r>
      <w:r>
        <w:rPr>
          <w:rFonts w:ascii="Times New Roman" w:hAnsi="Times New Roman"/>
          <w:color w:val="0E101A"/>
        </w:rPr>
        <w:t>https://doi.org/10.1038/s41590-019-0442-x.</w:t>
      </w:r>
    </w:p>
    <w:p w14:paraId="659F3A9B"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D</w:t>
      </w:r>
      <w:r>
        <w:rPr>
          <w:rFonts w:ascii="Times New Roman" w:hAnsi="Times New Roman"/>
          <w:color w:val="0E101A"/>
        </w:rPr>
        <w:t>í</w:t>
      </w:r>
      <w:r>
        <w:rPr>
          <w:rFonts w:ascii="Times New Roman" w:hAnsi="Times New Roman"/>
          <w:color w:val="0E101A"/>
          <w:lang w:val="es-ES_tradnl"/>
        </w:rPr>
        <w:t>az-Garc</w:t>
      </w:r>
      <w:r>
        <w:rPr>
          <w:rFonts w:ascii="Times New Roman" w:hAnsi="Times New Roman"/>
          <w:color w:val="0E101A"/>
        </w:rPr>
        <w:t>í</w:t>
      </w:r>
      <w:r>
        <w:rPr>
          <w:rFonts w:ascii="Times New Roman" w:hAnsi="Times New Roman"/>
          <w:color w:val="0E101A"/>
          <w:lang w:val="it-IT"/>
        </w:rPr>
        <w:t xml:space="preserve">a, Carlos Manlio, Rebecca Mongeon, Carolina Lahmann, Dorothy Koveal, Hannah Zucker, and Gary Yellen. </w:t>
      </w:r>
      <w:r>
        <w:rPr>
          <w:rFonts w:ascii="Times New Roman" w:hAnsi="Times New Roman"/>
          <w:color w:val="0E101A"/>
          <w:rtl/>
          <w:lang w:val="ar-SA"/>
        </w:rPr>
        <w:t>“</w:t>
      </w:r>
      <w:r>
        <w:rPr>
          <w:rFonts w:ascii="Times New Roman" w:hAnsi="Times New Roman"/>
          <w:color w:val="0E101A"/>
        </w:rPr>
        <w:t>Neuronal Stimulation Triggers Neuronal Glycolysis and Not Lactate Uptake.</w:t>
      </w:r>
      <w:r>
        <w:rPr>
          <w:rFonts w:ascii="Times New Roman" w:hAnsi="Times New Roman"/>
          <w:color w:val="0E101A"/>
        </w:rPr>
        <w:t xml:space="preserve">” </w:t>
      </w:r>
      <w:r>
        <w:rPr>
          <w:rStyle w:val="None"/>
          <w:rFonts w:ascii="Times New Roman" w:hAnsi="Times New Roman"/>
          <w:i/>
          <w:iCs/>
          <w:color w:val="0E101A"/>
        </w:rPr>
        <w:t>Cell Metabolism</w:t>
      </w:r>
      <w:r>
        <w:rPr>
          <w:rFonts w:ascii="Times New Roman" w:hAnsi="Times New Roman"/>
          <w:color w:val="0E101A"/>
        </w:rPr>
        <w:t xml:space="preserve"> 26, no. 2 (2017). https://doi.org/10.1016/j.cmet.2017.06.021.</w:t>
      </w:r>
    </w:p>
    <w:p w14:paraId="28982F4A"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Yellen, Gary. </w:t>
      </w:r>
      <w:r>
        <w:rPr>
          <w:rFonts w:ascii="Times New Roman" w:hAnsi="Times New Roman"/>
          <w:color w:val="0E101A"/>
          <w:rtl/>
          <w:lang w:val="ar-SA"/>
        </w:rPr>
        <w:t>“</w:t>
      </w:r>
      <w:r>
        <w:rPr>
          <w:rFonts w:ascii="Times New Roman" w:hAnsi="Times New Roman"/>
          <w:color w:val="0E101A"/>
        </w:rPr>
        <w:t>Fueling Thought: Management of Glycolysis and Oxidative Phosphorylation in Neuronal Metabolism.</w:t>
      </w:r>
      <w:r>
        <w:rPr>
          <w:rFonts w:ascii="Times New Roman" w:hAnsi="Times New Roman"/>
          <w:color w:val="0E101A"/>
        </w:rPr>
        <w:t xml:space="preserve">” </w:t>
      </w:r>
      <w:r>
        <w:rPr>
          <w:rStyle w:val="None"/>
          <w:rFonts w:ascii="Times New Roman" w:hAnsi="Times New Roman"/>
          <w:i/>
          <w:iCs/>
          <w:color w:val="0E101A"/>
        </w:rPr>
        <w:t>Journal of Cell Biology</w:t>
      </w:r>
      <w:r>
        <w:rPr>
          <w:rFonts w:ascii="Times New Roman" w:hAnsi="Times New Roman"/>
          <w:color w:val="0E101A"/>
        </w:rPr>
        <w:t xml:space="preserve"> 217, no. 7 (2018): 2235</w:t>
      </w:r>
      <w:r>
        <w:rPr>
          <w:rFonts w:ascii="Times New Roman" w:hAnsi="Times New Roman"/>
          <w:color w:val="0E101A"/>
        </w:rPr>
        <w:t>–</w:t>
      </w:r>
      <w:r>
        <w:rPr>
          <w:rFonts w:ascii="Times New Roman" w:hAnsi="Times New Roman"/>
          <w:color w:val="0E101A"/>
        </w:rPr>
        <w:t xml:space="preserve">46. </w:t>
      </w:r>
      <w:r>
        <w:rPr>
          <w:rFonts w:ascii="Times New Roman" w:hAnsi="Times New Roman"/>
          <w:color w:val="0E101A"/>
        </w:rPr>
        <w:t>https://doi.org/10.1083/jcb.201803152.</w:t>
      </w:r>
    </w:p>
    <w:p w14:paraId="715B01B2"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Tyssowski, Kelsey M., Nicholas R. DeStefino, Jin-Hyung Cho, Carissa J. Dunn, Robert G. Poston, Crista E. Carty, Richard D. Jones, et al. </w:t>
      </w:r>
      <w:r>
        <w:rPr>
          <w:rFonts w:ascii="Times New Roman" w:hAnsi="Times New Roman"/>
          <w:color w:val="0E101A"/>
          <w:rtl/>
          <w:lang w:val="ar-SA"/>
        </w:rPr>
        <w:t>“</w:t>
      </w:r>
      <w:r>
        <w:rPr>
          <w:rFonts w:ascii="Times New Roman" w:hAnsi="Times New Roman"/>
          <w:color w:val="0E101A"/>
        </w:rPr>
        <w:t>Different Neuronal Activity Patterns Induce Different Gene Expression Programs.</w:t>
      </w:r>
      <w:r>
        <w:rPr>
          <w:rFonts w:ascii="Times New Roman" w:hAnsi="Times New Roman"/>
          <w:color w:val="0E101A"/>
        </w:rPr>
        <w:t xml:space="preserve">” </w:t>
      </w:r>
      <w:r>
        <w:rPr>
          <w:rStyle w:val="None"/>
          <w:rFonts w:ascii="Times New Roman" w:hAnsi="Times New Roman"/>
          <w:i/>
          <w:iCs/>
          <w:color w:val="0E101A"/>
        </w:rPr>
        <w:t>Neuron</w:t>
      </w:r>
      <w:r>
        <w:rPr>
          <w:rFonts w:ascii="Times New Roman" w:hAnsi="Times New Roman"/>
          <w:color w:val="0E101A"/>
        </w:rPr>
        <w:t>98, no. 3 (2018). https://doi.org/10.1016/j.neuron.2018.04.001.</w:t>
      </w:r>
    </w:p>
    <w:p w14:paraId="4B5D055F"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D</w:t>
      </w:r>
      <w:r>
        <w:rPr>
          <w:rFonts w:ascii="Times New Roman" w:hAnsi="Times New Roman"/>
          <w:color w:val="0E101A"/>
        </w:rPr>
        <w:t>í</w:t>
      </w:r>
      <w:r>
        <w:rPr>
          <w:rFonts w:ascii="Times New Roman" w:hAnsi="Times New Roman"/>
          <w:color w:val="0E101A"/>
        </w:rPr>
        <w:t>az</w:t>
      </w:r>
      <w:r>
        <w:rPr>
          <w:rFonts w:ascii="Times New Roman" w:hAnsi="Times New Roman"/>
          <w:color w:val="0E101A"/>
        </w:rPr>
        <w:t>‐</w:t>
      </w:r>
      <w:r>
        <w:rPr>
          <w:rFonts w:ascii="Times New Roman" w:hAnsi="Times New Roman"/>
          <w:color w:val="0E101A"/>
          <w:lang w:val="es-ES_tradnl"/>
        </w:rPr>
        <w:t>Garc</w:t>
      </w:r>
      <w:r>
        <w:rPr>
          <w:rFonts w:ascii="Times New Roman" w:hAnsi="Times New Roman"/>
          <w:color w:val="0E101A"/>
        </w:rPr>
        <w:t>í</w:t>
      </w:r>
      <w:r>
        <w:rPr>
          <w:rFonts w:ascii="Times New Roman" w:hAnsi="Times New Roman"/>
          <w:color w:val="0E101A"/>
          <w:lang w:val="it-IT"/>
        </w:rPr>
        <w:t xml:space="preserve">a, Carlos Manlio, and Gary Yellen. </w:t>
      </w:r>
      <w:r>
        <w:rPr>
          <w:rFonts w:ascii="Times New Roman" w:hAnsi="Times New Roman"/>
          <w:color w:val="0E101A"/>
          <w:rtl/>
          <w:lang w:val="ar-SA"/>
        </w:rPr>
        <w:t>“</w:t>
      </w:r>
      <w:r>
        <w:rPr>
          <w:rFonts w:ascii="Times New Roman" w:hAnsi="Times New Roman"/>
          <w:color w:val="0E101A"/>
        </w:rPr>
        <w:t>Neurons Rely on Glucose Rather than Astrocytic Lactate during Stimulation.</w:t>
      </w:r>
      <w:r>
        <w:rPr>
          <w:rFonts w:ascii="Times New Roman" w:hAnsi="Times New Roman"/>
          <w:color w:val="0E101A"/>
        </w:rPr>
        <w:t xml:space="preserve">” </w:t>
      </w:r>
      <w:r>
        <w:rPr>
          <w:rStyle w:val="None"/>
          <w:rFonts w:ascii="Times New Roman" w:hAnsi="Times New Roman"/>
          <w:i/>
          <w:iCs/>
          <w:color w:val="0E101A"/>
        </w:rPr>
        <w:t>Journal of Neuroscience Research</w:t>
      </w:r>
      <w:r>
        <w:rPr>
          <w:rFonts w:ascii="Times New Roman" w:hAnsi="Times New Roman"/>
          <w:color w:val="0E101A"/>
        </w:rPr>
        <w:t xml:space="preserve"> 97, no. 8 (2018): 883</w:t>
      </w:r>
      <w:r>
        <w:rPr>
          <w:rFonts w:ascii="Times New Roman" w:hAnsi="Times New Roman"/>
          <w:color w:val="0E101A"/>
        </w:rPr>
        <w:t>–</w:t>
      </w:r>
      <w:r>
        <w:rPr>
          <w:rFonts w:ascii="Times New Roman" w:hAnsi="Times New Roman"/>
          <w:color w:val="0E101A"/>
        </w:rPr>
        <w:t>89. https://doi.org/10.1002/jnr.24374.</w:t>
      </w:r>
    </w:p>
    <w:p w14:paraId="4AA3E328"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Fu, Wen, and Jack H. Jhamandas. </w:t>
      </w:r>
      <w:r>
        <w:rPr>
          <w:rFonts w:ascii="Times New Roman" w:hAnsi="Times New Roman"/>
          <w:color w:val="0E101A"/>
          <w:rtl/>
          <w:lang w:val="ar-SA"/>
        </w:rPr>
        <w:t>“</w:t>
      </w:r>
      <w:r>
        <w:rPr>
          <w:rFonts w:ascii="Times New Roman" w:hAnsi="Times New Roman"/>
          <w:color w:val="0E101A"/>
        </w:rPr>
        <w:t>Role of Astrocytic Glycolytic Metabolism in Alzheimer</w:t>
      </w:r>
      <w:r>
        <w:rPr>
          <w:rFonts w:ascii="Times New Roman" w:hAnsi="Times New Roman"/>
          <w:color w:val="0E101A"/>
          <w:rtl/>
        </w:rPr>
        <w:t>’</w:t>
      </w:r>
      <w:r>
        <w:rPr>
          <w:rFonts w:ascii="Times New Roman" w:hAnsi="Times New Roman"/>
          <w:color w:val="0E101A"/>
        </w:rPr>
        <w:t>s Disease Pathogenesis.</w:t>
      </w:r>
      <w:r>
        <w:rPr>
          <w:rFonts w:ascii="Times New Roman" w:hAnsi="Times New Roman"/>
          <w:color w:val="0E101A"/>
        </w:rPr>
        <w:t xml:space="preserve">” </w:t>
      </w:r>
      <w:r>
        <w:rPr>
          <w:rStyle w:val="None"/>
          <w:rFonts w:ascii="Times New Roman" w:hAnsi="Times New Roman"/>
          <w:i/>
          <w:iCs/>
          <w:color w:val="0E101A"/>
        </w:rPr>
        <w:t>Biogerontology</w:t>
      </w:r>
      <w:r>
        <w:rPr>
          <w:rFonts w:ascii="Times New Roman" w:hAnsi="Times New Roman"/>
          <w:color w:val="0E101A"/>
        </w:rPr>
        <w:t xml:space="preserve"> 15, no. 6 (2014): 579</w:t>
      </w:r>
      <w:r>
        <w:rPr>
          <w:rFonts w:ascii="Times New Roman" w:hAnsi="Times New Roman"/>
          <w:color w:val="0E101A"/>
        </w:rPr>
        <w:t>–</w:t>
      </w:r>
      <w:r>
        <w:rPr>
          <w:rFonts w:ascii="Times New Roman" w:hAnsi="Times New Roman"/>
          <w:color w:val="0E101A"/>
        </w:rPr>
        <w:t xml:space="preserve">86. </w:t>
      </w:r>
      <w:r>
        <w:rPr>
          <w:rFonts w:ascii="Times New Roman" w:hAnsi="Times New Roman"/>
          <w:color w:val="0E101A"/>
        </w:rPr>
        <w:t>https://doi.org/10.1007/s10522-014-9525-0.</w:t>
      </w:r>
    </w:p>
    <w:p w14:paraId="0C4E409D"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Kalsbeek, Martin J.T., Laurie Mulder, and Chun-Xia Yi. </w:t>
      </w:r>
      <w:r>
        <w:rPr>
          <w:rFonts w:ascii="Times New Roman" w:hAnsi="Times New Roman"/>
          <w:color w:val="0E101A"/>
          <w:rtl/>
          <w:lang w:val="ar-SA"/>
        </w:rPr>
        <w:t>“</w:t>
      </w:r>
      <w:r>
        <w:rPr>
          <w:rFonts w:ascii="Times New Roman" w:hAnsi="Times New Roman"/>
          <w:color w:val="0E101A"/>
          <w:lang w:val="it-IT"/>
        </w:rPr>
        <w:t>Microglia Energy Metabolism in Metabolic Disorder.</w:t>
      </w:r>
      <w:r>
        <w:rPr>
          <w:rFonts w:ascii="Times New Roman" w:hAnsi="Times New Roman"/>
          <w:color w:val="0E101A"/>
        </w:rPr>
        <w:t xml:space="preserve">” </w:t>
      </w:r>
      <w:r>
        <w:rPr>
          <w:rStyle w:val="None"/>
          <w:rFonts w:ascii="Times New Roman" w:hAnsi="Times New Roman"/>
          <w:i/>
          <w:iCs/>
          <w:color w:val="0E101A"/>
        </w:rPr>
        <w:t>Molecular and Cellular Endocrinology</w:t>
      </w:r>
      <w:r>
        <w:rPr>
          <w:rFonts w:ascii="Times New Roman" w:hAnsi="Times New Roman"/>
          <w:color w:val="0E101A"/>
        </w:rPr>
        <w:t xml:space="preserve"> 438 (2016): 27</w:t>
      </w:r>
      <w:r>
        <w:rPr>
          <w:rFonts w:ascii="Times New Roman" w:hAnsi="Times New Roman"/>
          <w:color w:val="0E101A"/>
        </w:rPr>
        <w:t>–</w:t>
      </w:r>
      <w:r>
        <w:rPr>
          <w:rFonts w:ascii="Times New Roman" w:hAnsi="Times New Roman"/>
          <w:color w:val="0E101A"/>
        </w:rPr>
        <w:t xml:space="preserve">35. </w:t>
      </w:r>
      <w:r>
        <w:rPr>
          <w:rFonts w:ascii="Times New Roman" w:hAnsi="Times New Roman"/>
          <w:color w:val="0E101A"/>
        </w:rPr>
        <w:t>https://doi.org/10.1016/j.mce.2016.09.028.</w:t>
      </w:r>
    </w:p>
    <w:p w14:paraId="31117AA9"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 xml:space="preserve">Ashrafi, Ghazaleh, and Timothy A Ryan. </w:t>
      </w:r>
      <w:r>
        <w:rPr>
          <w:rFonts w:ascii="Times New Roman" w:hAnsi="Times New Roman"/>
          <w:color w:val="0E101A"/>
          <w:rtl/>
          <w:lang w:val="ar-SA"/>
        </w:rPr>
        <w:t>“</w:t>
      </w:r>
      <w:r>
        <w:rPr>
          <w:rFonts w:ascii="Times New Roman" w:hAnsi="Times New Roman"/>
          <w:color w:val="0E101A"/>
          <w:lang w:val="it-IT"/>
        </w:rPr>
        <w:t>Glucose Metabolism in Nerve Terminals.</w:t>
      </w:r>
      <w:r>
        <w:rPr>
          <w:rFonts w:ascii="Times New Roman" w:hAnsi="Times New Roman"/>
          <w:color w:val="0E101A"/>
        </w:rPr>
        <w:t xml:space="preserve">” </w:t>
      </w:r>
      <w:r>
        <w:rPr>
          <w:rStyle w:val="None"/>
          <w:rFonts w:ascii="Times New Roman" w:hAnsi="Times New Roman"/>
          <w:i/>
          <w:iCs/>
          <w:color w:val="0E101A"/>
          <w:lang w:val="de-DE"/>
        </w:rPr>
        <w:t>Current Opinion in Neurobiology</w:t>
      </w:r>
      <w:r>
        <w:rPr>
          <w:rFonts w:ascii="Times New Roman" w:hAnsi="Times New Roman"/>
          <w:color w:val="0E101A"/>
        </w:rPr>
        <w:t xml:space="preserve"> 45 (2017): 156</w:t>
      </w:r>
      <w:r>
        <w:rPr>
          <w:rFonts w:ascii="Times New Roman" w:hAnsi="Times New Roman"/>
          <w:color w:val="0E101A"/>
        </w:rPr>
        <w:t>–</w:t>
      </w:r>
      <w:r>
        <w:rPr>
          <w:rFonts w:ascii="Times New Roman" w:hAnsi="Times New Roman"/>
          <w:color w:val="0E101A"/>
        </w:rPr>
        <w:t xml:space="preserve">61. </w:t>
      </w:r>
      <w:r>
        <w:rPr>
          <w:rFonts w:ascii="Times New Roman" w:hAnsi="Times New Roman"/>
          <w:color w:val="0E101A"/>
        </w:rPr>
        <w:t>https://doi.org/10.1016/j.conb.2017.03.007.</w:t>
      </w:r>
    </w:p>
    <w:p w14:paraId="069B8502" w14:textId="77777777" w:rsidR="002F1423" w:rsidRDefault="00927F0D">
      <w:pPr>
        <w:pStyle w:val="Default"/>
        <w:numPr>
          <w:ilvl w:val="0"/>
          <w:numId w:val="2"/>
        </w:numPr>
        <w:spacing w:before="0" w:line="240" w:lineRule="auto"/>
        <w:rPr>
          <w:rFonts w:ascii="Times New Roman" w:hAnsi="Times New Roman"/>
          <w:color w:val="0E101A"/>
        </w:rPr>
      </w:pPr>
      <w:r>
        <w:rPr>
          <w:rFonts w:ascii="Times New Roman" w:hAnsi="Times New Roman"/>
          <w:color w:val="0E101A"/>
        </w:rPr>
        <w:t>Falkowska, Anna, Izabela Gutowska, Marta Goschorska, Przemys</w:t>
      </w:r>
      <w:r>
        <w:rPr>
          <w:rFonts w:ascii="Times New Roman" w:hAnsi="Times New Roman"/>
          <w:color w:val="0E101A"/>
        </w:rPr>
        <w:t>ł</w:t>
      </w:r>
      <w:r>
        <w:rPr>
          <w:rFonts w:ascii="Times New Roman" w:hAnsi="Times New Roman"/>
          <w:color w:val="0E101A"/>
        </w:rPr>
        <w:t xml:space="preserve">aw Nowacki, Dariusz Chlubek, and Irena Baranowska-Bosiacka. </w:t>
      </w:r>
      <w:r>
        <w:rPr>
          <w:rFonts w:ascii="Times New Roman" w:hAnsi="Times New Roman"/>
          <w:color w:val="0E101A"/>
          <w:rtl/>
          <w:lang w:val="ar-SA"/>
        </w:rPr>
        <w:t>“</w:t>
      </w:r>
      <w:r>
        <w:rPr>
          <w:rFonts w:ascii="Times New Roman" w:hAnsi="Times New Roman"/>
          <w:color w:val="0E101A"/>
        </w:rPr>
        <w:t xml:space="preserve">Energy Metabolism of the Brain, Including the Cooperation between Astrocytes and </w:t>
      </w:r>
      <w:r>
        <w:rPr>
          <w:rFonts w:ascii="Times New Roman" w:hAnsi="Times New Roman"/>
          <w:color w:val="0E101A"/>
        </w:rPr>
        <w:t>Neurons, Especially in the Context of Glycogen Metabolism.</w:t>
      </w:r>
      <w:r>
        <w:rPr>
          <w:rFonts w:ascii="Times New Roman" w:hAnsi="Times New Roman"/>
          <w:color w:val="0E101A"/>
        </w:rPr>
        <w:t xml:space="preserve">” </w:t>
      </w:r>
      <w:r>
        <w:rPr>
          <w:rStyle w:val="None"/>
          <w:rFonts w:ascii="Times New Roman" w:hAnsi="Times New Roman"/>
          <w:i/>
          <w:iCs/>
          <w:color w:val="0E101A"/>
        </w:rPr>
        <w:t>International Journal of Molecular Sciences</w:t>
      </w:r>
      <w:r>
        <w:rPr>
          <w:rFonts w:ascii="Times New Roman" w:hAnsi="Times New Roman"/>
          <w:color w:val="0E101A"/>
        </w:rPr>
        <w:t xml:space="preserve"> 16, no. 11 (2015): 25959</w:t>
      </w:r>
      <w:r>
        <w:rPr>
          <w:rFonts w:ascii="Times New Roman" w:hAnsi="Times New Roman"/>
          <w:color w:val="0E101A"/>
        </w:rPr>
        <w:t>–</w:t>
      </w:r>
      <w:r>
        <w:rPr>
          <w:rFonts w:ascii="Times New Roman" w:hAnsi="Times New Roman"/>
          <w:color w:val="0E101A"/>
        </w:rPr>
        <w:t xml:space="preserve">81. https://doi.org/10.3390/ijms161125939. </w:t>
      </w:r>
    </w:p>
    <w:p w14:paraId="174A4883" w14:textId="77777777" w:rsidR="002F1423" w:rsidRDefault="002F1423">
      <w:pPr>
        <w:pStyle w:val="Default"/>
        <w:spacing w:before="0" w:line="240" w:lineRule="auto"/>
        <w:rPr>
          <w:rFonts w:ascii="Times New Roman" w:eastAsia="Times New Roman" w:hAnsi="Times New Roman" w:cs="Times New Roman"/>
          <w:color w:val="0E101A"/>
        </w:rPr>
      </w:pPr>
    </w:p>
    <w:p w14:paraId="17CC9891" w14:textId="77777777" w:rsidR="002F1423" w:rsidRDefault="002F1423">
      <w:pPr>
        <w:pStyle w:val="Default"/>
        <w:spacing w:before="0" w:line="240" w:lineRule="auto"/>
      </w:pPr>
    </w:p>
    <w:sectPr w:rsidR="002F1423">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2468" w14:textId="77777777" w:rsidR="00000000" w:rsidRDefault="00927F0D">
      <w:r>
        <w:separator/>
      </w:r>
    </w:p>
  </w:endnote>
  <w:endnote w:type="continuationSeparator" w:id="0">
    <w:p w14:paraId="45479594" w14:textId="77777777" w:rsidR="00000000" w:rsidRDefault="0092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6D3F" w14:textId="77777777" w:rsidR="002F1423" w:rsidRDefault="00927F0D">
    <w:pPr>
      <w:pStyle w:val="HeaderFooter"/>
      <w:tabs>
        <w:tab w:val="clear" w:pos="9020"/>
        <w:tab w:val="center" w:pos="4680"/>
        <w:tab w:val="right" w:pos="9360"/>
      </w:tabs>
    </w:pPr>
    <w:r>
      <w:tab/>
    </w: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B763" w14:textId="77777777" w:rsidR="00000000" w:rsidRDefault="00927F0D">
      <w:r>
        <w:separator/>
      </w:r>
    </w:p>
  </w:footnote>
  <w:footnote w:type="continuationSeparator" w:id="0">
    <w:p w14:paraId="2A4AEF59" w14:textId="77777777" w:rsidR="00000000" w:rsidRDefault="00927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A075" w14:textId="77777777" w:rsidR="002F1423" w:rsidRDefault="002F14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44314"/>
    <w:multiLevelType w:val="hybridMultilevel"/>
    <w:tmpl w:val="431CEEDA"/>
    <w:styleLink w:val="Numbered"/>
    <w:lvl w:ilvl="0" w:tplc="A232DA5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47A022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5F4BFE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58E447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46AEF0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7194D9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A66EFC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4EA429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EB23CA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0A7411C"/>
    <w:multiLevelType w:val="hybridMultilevel"/>
    <w:tmpl w:val="431CEEDA"/>
    <w:numStyleLink w:val="Numbered"/>
  </w:abstractNum>
  <w:num w:numId="1" w16cid:durableId="1473139270">
    <w:abstractNumId w:val="0"/>
  </w:num>
  <w:num w:numId="2" w16cid:durableId="8724001">
    <w:abstractNumId w:val="1"/>
  </w:num>
  <w:num w:numId="3" w16cid:durableId="1093936737">
    <w:abstractNumId w:val="1"/>
    <w:lvlOverride w:ilvl="0">
      <w:startOverride w:val="1"/>
    </w:lvlOverride>
  </w:num>
  <w:num w:numId="4" w16cid:durableId="591206054">
    <w:abstractNumId w:val="1"/>
    <w:lvlOverride w:ilvl="0">
      <w:startOverride w:val="1"/>
    </w:lvlOverride>
  </w:num>
  <w:num w:numId="5" w16cid:durableId="413556224">
    <w:abstractNumId w:val="1"/>
    <w:lvlOverride w:ilvl="0">
      <w:startOverride w:val="1"/>
    </w:lvlOverride>
  </w:num>
  <w:num w:numId="6" w16cid:durableId="212885508">
    <w:abstractNumId w:val="1"/>
    <w:lvlOverride w:ilvl="0">
      <w:startOverride w:val="1"/>
    </w:lvlOverride>
  </w:num>
  <w:num w:numId="7" w16cid:durableId="1934972034">
    <w:abstractNumId w:val="1"/>
    <w:lvlOverride w:ilvl="0">
      <w:startOverride w:val="1"/>
    </w:lvlOverride>
  </w:num>
  <w:num w:numId="8" w16cid:durableId="1163620412">
    <w:abstractNumId w:val="1"/>
    <w:lvlOverride w:ilvl="0">
      <w:startOverride w:val="1"/>
    </w:lvlOverride>
  </w:num>
  <w:num w:numId="9" w16cid:durableId="1985962723">
    <w:abstractNumId w:val="1"/>
    <w:lvlOverride w:ilvl="0">
      <w:startOverride w:val="1"/>
    </w:lvlOverride>
  </w:num>
  <w:num w:numId="10" w16cid:durableId="1676416150">
    <w:abstractNumId w:val="1"/>
    <w:lvlOverride w:ilvl="0">
      <w:startOverride w:val="1"/>
    </w:lvlOverride>
  </w:num>
  <w:num w:numId="11" w16cid:durableId="1013995563">
    <w:abstractNumId w:val="1"/>
    <w:lvlOverride w:ilvl="0">
      <w:startOverride w:val="1"/>
    </w:lvlOverride>
  </w:num>
  <w:num w:numId="12" w16cid:durableId="769744835">
    <w:abstractNumId w:val="1"/>
    <w:lvlOverride w:ilvl="0">
      <w:startOverride w:val="1"/>
    </w:lvlOverride>
  </w:num>
  <w:num w:numId="13" w16cid:durableId="439565451">
    <w:abstractNumId w:val="1"/>
    <w:lvlOverride w:ilvl="0">
      <w:startOverride w:val="1"/>
    </w:lvlOverride>
  </w:num>
  <w:num w:numId="14" w16cid:durableId="328215212">
    <w:abstractNumId w:val="1"/>
    <w:lvlOverride w:ilvl="0">
      <w:startOverride w:val="1"/>
    </w:lvlOverride>
  </w:num>
  <w:num w:numId="15" w16cid:durableId="251742786">
    <w:abstractNumId w:val="1"/>
    <w:lvlOverride w:ilvl="0">
      <w:startOverride w:val="1"/>
    </w:lvlOverride>
  </w:num>
  <w:num w:numId="16" w16cid:durableId="19245615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23"/>
    <w:rsid w:val="002F1423"/>
    <w:rsid w:val="0092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5683"/>
  <w15:docId w15:val="{619A4185-F3C3-4B33-AA34-8E852C99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None">
    <w:name w:val="None"/>
  </w:style>
  <w:style w:type="character" w:customStyle="1" w:styleId="Hyperlink0">
    <w:name w:val="Hyperlink.0"/>
    <w:basedOn w:val="None"/>
    <w:rPr>
      <w:outline w:val="0"/>
      <w:color w:val="000000"/>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Sirolim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15547</Words>
  <Characters>88623</Characters>
  <Application>Microsoft Office Word</Application>
  <DocSecurity>4</DocSecurity>
  <Lines>738</Lines>
  <Paragraphs>207</Paragraphs>
  <ScaleCrop>false</ScaleCrop>
  <Company/>
  <LinksUpToDate>false</LinksUpToDate>
  <CharactersWithSpaces>103963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shoemaker</dc:creator>
  <cp:lastModifiedBy>ritchie shoemaker</cp:lastModifiedBy>
  <cp:revision>2</cp:revision>
  <dcterms:created xsi:type="dcterms:W3CDTF">2022-05-24T14:56:00Z</dcterms:created>
  <dcterms:modified xsi:type="dcterms:W3CDTF">2022-05-24T14:56:00Z</dcterms:modified>
</cp:coreProperties>
</file>