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439A" w14:textId="48A675C7" w:rsidR="00343D2E" w:rsidRPr="004729B9" w:rsidRDefault="00DF37D2" w:rsidP="00720C4E">
      <w:pPr>
        <w:spacing w:line="276" w:lineRule="auto"/>
        <w:rPr>
          <w:rFonts w:ascii="Avenir Book" w:hAnsi="Avenir Book"/>
          <w:lang w:val="en-US"/>
        </w:rPr>
      </w:pPr>
      <w:bookmarkStart w:id="0" w:name="_Hlk171190578"/>
      <w:bookmarkStart w:id="1" w:name="_Hlk171190766"/>
      <w:bookmarkStart w:id="2" w:name="_Hlk172301965"/>
      <w:bookmarkStart w:id="3" w:name="_Hlk174022001"/>
      <w:r>
        <w:rPr>
          <w:rFonts w:ascii="Avenir Book" w:hAnsi="Avenir Book"/>
          <w:b/>
          <w:bCs/>
          <w:noProof/>
          <w:sz w:val="22"/>
          <w:szCs w:val="22"/>
          <w:lang w:val="en-US"/>
        </w:rPr>
        <mc:AlternateContent>
          <mc:Choice Requires="wps">
            <w:drawing>
              <wp:anchor distT="0" distB="0" distL="114300" distR="114300" simplePos="0" relativeHeight="251665408" behindDoc="0" locked="0" layoutInCell="1" allowOverlap="1" wp14:anchorId="2A1CDEE6" wp14:editId="5B7081E3">
                <wp:simplePos x="0" y="0"/>
                <wp:positionH relativeFrom="column">
                  <wp:posOffset>-114300</wp:posOffset>
                </wp:positionH>
                <wp:positionV relativeFrom="paragraph">
                  <wp:posOffset>317500</wp:posOffset>
                </wp:positionV>
                <wp:extent cx="6769100" cy="844550"/>
                <wp:effectExtent l="0" t="0" r="0" b="0"/>
                <wp:wrapNone/>
                <wp:docPr id="521338840" name="Text Box 1"/>
                <wp:cNvGraphicFramePr/>
                <a:graphic xmlns:a="http://schemas.openxmlformats.org/drawingml/2006/main">
                  <a:graphicData uri="http://schemas.microsoft.com/office/word/2010/wordprocessingShape">
                    <wps:wsp>
                      <wps:cNvSpPr txBox="1"/>
                      <wps:spPr>
                        <a:xfrm>
                          <a:off x="0" y="0"/>
                          <a:ext cx="6769100" cy="844550"/>
                        </a:xfrm>
                        <a:prstGeom prst="rect">
                          <a:avLst/>
                        </a:prstGeom>
                        <a:noFill/>
                        <a:ln w="6350">
                          <a:noFill/>
                        </a:ln>
                      </wps:spPr>
                      <wps:txbx>
                        <w:txbxContent>
                          <w:p w14:paraId="77C4649E" w14:textId="0F870A3C" w:rsidR="00A014B7" w:rsidRPr="00211FB9" w:rsidRDefault="00F17693" w:rsidP="00DF37D2">
                            <w:pPr>
                              <w:spacing w:after="120"/>
                              <w:rPr>
                                <w:rFonts w:ascii="Avenir Book" w:hAnsi="Avenir Book"/>
                                <w:color w:val="DF8420"/>
                                <w:sz w:val="22"/>
                                <w:szCs w:val="22"/>
                              </w:rPr>
                            </w:pPr>
                            <w:r w:rsidRPr="00211FB9">
                              <w:rPr>
                                <w:rFonts w:ascii="Avenir Book" w:hAnsi="Avenir Book"/>
                                <w:color w:val="DF8420"/>
                                <w:sz w:val="22"/>
                                <w:szCs w:val="22"/>
                              </w:rPr>
                              <w:t>RESEA</w:t>
                            </w:r>
                            <w:r w:rsidR="00AF1316" w:rsidRPr="00211FB9">
                              <w:rPr>
                                <w:rFonts w:ascii="Avenir Book" w:hAnsi="Avenir Book"/>
                                <w:color w:val="DF8420"/>
                                <w:sz w:val="22"/>
                                <w:szCs w:val="22"/>
                              </w:rPr>
                              <w:t>R</w:t>
                            </w:r>
                            <w:r w:rsidRPr="00211FB9">
                              <w:rPr>
                                <w:rFonts w:ascii="Avenir Book" w:hAnsi="Avenir Book"/>
                                <w:color w:val="DF8420"/>
                                <w:sz w:val="22"/>
                                <w:szCs w:val="22"/>
                              </w:rPr>
                              <w:t>CH AR</w:t>
                            </w:r>
                            <w:r w:rsidR="00AF1316" w:rsidRPr="00211FB9">
                              <w:rPr>
                                <w:rFonts w:ascii="Avenir Book" w:hAnsi="Avenir Book"/>
                                <w:color w:val="DF8420"/>
                                <w:sz w:val="22"/>
                                <w:szCs w:val="22"/>
                              </w:rPr>
                              <w:t>TICLE</w:t>
                            </w:r>
                          </w:p>
                          <w:p w14:paraId="6E869934" w14:textId="7A9303B2" w:rsidR="00BE3298" w:rsidRPr="00BE3298" w:rsidRDefault="00C13FAA" w:rsidP="00DF37D2">
                            <w:pPr>
                              <w:numPr>
                                <w:ilvl w:val="12"/>
                                <w:numId w:val="0"/>
                              </w:numPr>
                              <w:spacing w:after="120"/>
                              <w:rPr>
                                <w:rFonts w:ascii="Avenir Book" w:hAnsi="Avenir Book" w:cs="Times New Roman"/>
                                <w:b/>
                                <w:sz w:val="10"/>
                                <w:szCs w:val="10"/>
                              </w:rPr>
                            </w:pPr>
                            <w:r w:rsidRPr="00C13FAA">
                              <w:rPr>
                                <w:rFonts w:ascii="Avenir Book" w:hAnsi="Avenir Book"/>
                                <w:color w:val="11639F"/>
                                <w:sz w:val="36"/>
                                <w:szCs w:val="36"/>
                              </w:rPr>
                              <w:t>Built Environment as a Dangerous Ecosystem</w:t>
                            </w:r>
                          </w:p>
                          <w:p w14:paraId="4B18B9CE" w14:textId="77777777" w:rsidR="002C37FA" w:rsidRPr="002C37FA" w:rsidRDefault="002C37FA" w:rsidP="002C37FA">
                            <w:pPr>
                              <w:pStyle w:val="NormalWeb"/>
                              <w:spacing w:before="0" w:beforeAutospacing="0" w:after="0" w:afterAutospacing="0"/>
                              <w:jc w:val="both"/>
                              <w:rPr>
                                <w:rFonts w:ascii="Avenir Book" w:hAnsi="Avenir Book"/>
                                <w:b/>
                                <w:bCs/>
                                <w:sz w:val="22"/>
                                <w:szCs w:val="22"/>
                                <w:vertAlign w:val="superscript"/>
                              </w:rPr>
                            </w:pPr>
                            <w:r w:rsidRPr="002C37FA">
                              <w:rPr>
                                <w:rFonts w:ascii="Avenir Book" w:hAnsi="Avenir Book"/>
                                <w:b/>
                                <w:bCs/>
                                <w:sz w:val="22"/>
                                <w:szCs w:val="22"/>
                              </w:rPr>
                              <w:t>Michael Schrantz</w:t>
                            </w:r>
                            <w:r>
                              <w:rPr>
                                <w:rFonts w:ascii="Avenir Book" w:hAnsi="Avenir Book"/>
                                <w:b/>
                                <w:bCs/>
                                <w:sz w:val="22"/>
                                <w:szCs w:val="22"/>
                              </w:rPr>
                              <w:t xml:space="preserve"> </w:t>
                            </w:r>
                            <w:r>
                              <w:rPr>
                                <w:rFonts w:ascii="Avenir Book" w:hAnsi="Avenir Book"/>
                                <w:b/>
                                <w:bCs/>
                                <w:sz w:val="22"/>
                                <w:szCs w:val="22"/>
                                <w:vertAlign w:val="superscript"/>
                              </w:rPr>
                              <w:t>1</w:t>
                            </w:r>
                            <w:r w:rsidRPr="002C37FA">
                              <w:rPr>
                                <w:rFonts w:ascii="Avenir Book" w:hAnsi="Avenir Book"/>
                                <w:b/>
                                <w:bCs/>
                                <w:sz w:val="22"/>
                                <w:szCs w:val="22"/>
                              </w:rPr>
                              <w:t>, John Banta</w:t>
                            </w:r>
                            <w:r>
                              <w:rPr>
                                <w:rFonts w:ascii="Avenir Book" w:hAnsi="Avenir Book"/>
                                <w:b/>
                                <w:bCs/>
                                <w:sz w:val="22"/>
                                <w:szCs w:val="22"/>
                              </w:rPr>
                              <w:t xml:space="preserve"> </w:t>
                            </w:r>
                            <w:r>
                              <w:rPr>
                                <w:rFonts w:ascii="Avenir Book" w:hAnsi="Avenir Book"/>
                                <w:b/>
                                <w:bCs/>
                                <w:sz w:val="22"/>
                                <w:szCs w:val="22"/>
                                <w:vertAlign w:val="superscript"/>
                              </w:rPr>
                              <w:t>2</w:t>
                            </w:r>
                            <w:r w:rsidRPr="002C37FA">
                              <w:rPr>
                                <w:rFonts w:ascii="Avenir Book" w:hAnsi="Avenir Book"/>
                                <w:b/>
                                <w:bCs/>
                                <w:sz w:val="22"/>
                                <w:szCs w:val="22"/>
                              </w:rPr>
                              <w:t xml:space="preserve">, Larry Schwartz </w:t>
                            </w:r>
                            <w:r>
                              <w:rPr>
                                <w:rFonts w:ascii="Avenir Book" w:hAnsi="Avenir Book"/>
                                <w:b/>
                                <w:bCs/>
                                <w:sz w:val="22"/>
                                <w:szCs w:val="22"/>
                                <w:vertAlign w:val="superscript"/>
                              </w:rPr>
                              <w:t>3</w:t>
                            </w:r>
                            <w:r>
                              <w:rPr>
                                <w:rFonts w:ascii="Avenir Book" w:hAnsi="Avenir Book"/>
                                <w:b/>
                                <w:bCs/>
                                <w:sz w:val="22"/>
                                <w:szCs w:val="22"/>
                              </w:rPr>
                              <w:t>,</w:t>
                            </w:r>
                            <w:r w:rsidRPr="002C37FA">
                              <w:rPr>
                                <w:rFonts w:ascii="Avenir Book" w:hAnsi="Avenir Book"/>
                                <w:b/>
                                <w:bCs/>
                                <w:sz w:val="22"/>
                                <w:szCs w:val="22"/>
                              </w:rPr>
                              <w:t xml:space="preserve"> David Lark</w:t>
                            </w:r>
                            <w:r>
                              <w:rPr>
                                <w:rFonts w:ascii="Avenir Book" w:hAnsi="Avenir Book"/>
                                <w:b/>
                                <w:bCs/>
                                <w:sz w:val="22"/>
                                <w:szCs w:val="22"/>
                              </w:rPr>
                              <w:t xml:space="preserve"> </w:t>
                            </w:r>
                            <w:r>
                              <w:rPr>
                                <w:rFonts w:ascii="Avenir Book" w:hAnsi="Avenir Book"/>
                                <w:b/>
                                <w:bCs/>
                                <w:sz w:val="22"/>
                                <w:szCs w:val="22"/>
                                <w:vertAlign w:val="superscript"/>
                              </w:rPr>
                              <w:t>4</w:t>
                            </w:r>
                          </w:p>
                          <w:p w14:paraId="0AD201AA" w14:textId="01E69DFC" w:rsidR="00315BB0" w:rsidRPr="003439EF" w:rsidRDefault="00315BB0" w:rsidP="00DF37D2">
                            <w:pPr>
                              <w:numPr>
                                <w:ilvl w:val="12"/>
                                <w:numId w:val="0"/>
                              </w:numPr>
                              <w:spacing w:after="120"/>
                              <w:rPr>
                                <w:rFonts w:ascii="Avenir Book" w:hAnsi="Avenir Book" w:cs="Times New Roman"/>
                                <w:b/>
                                <w:sz w:val="22"/>
                                <w:szCs w:val="22"/>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CDEE6" id="_x0000_t202" coordsize="21600,21600" o:spt="202" path="m,l,21600r21600,l21600,xe">
                <v:stroke joinstyle="miter"/>
                <v:path gradientshapeok="t" o:connecttype="rect"/>
              </v:shapetype>
              <v:shape id="Text Box 1" o:spid="_x0000_s1026" type="#_x0000_t202" style="position:absolute;margin-left:-9pt;margin-top:25pt;width:533pt;height: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oI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7Ob2d1oiC6OvtvJZDpNuGaX19b58FWAJtEoqENaElrs&#10;sPYBK2LoKSQWM7CqlUrUKEMarPAZU/7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CnWiKeAAAAALAQAADwAAAGRycy9kb3ducmV2LnhtbEyPzU7DMBCE70i8g7VI3Fq7&#10;haIoxKmqSBUSgkNLL9w28TaJiO0Qu23g6dmc6Gn/RrPfZOvRduJMQ2i907CYKxDkKm9aV2s4fGxn&#10;CYgQ0RnsvCMNPxRgnd/eZJgaf3E7Ou9jLdjEhRQ1NDH2qZShashimPueHN+OfrAYeRxqaQa8sLnt&#10;5FKpJ2mxdfyhwZ6Khqqv/clqeC2277grlzb57YqXt+Om/z58rrS+vxs3zyAijfFfDBM+o0POTKU/&#10;ORNEp2G2SDhL1LBSXCeBepw2JXfJgwKZZ/I6Q/4HAAD//wMAUEsBAi0AFAAGAAgAAAAhALaDOJL+&#10;AAAA4QEAABMAAAAAAAAAAAAAAAAAAAAAAFtDb250ZW50X1R5cGVzXS54bWxQSwECLQAUAAYACAAA&#10;ACEAOP0h/9YAAACUAQAACwAAAAAAAAAAAAAAAAAvAQAAX3JlbHMvLnJlbHNQSwECLQAUAAYACAAA&#10;ACEAySDKCBUCAAAsBAAADgAAAAAAAAAAAAAAAAAuAgAAZHJzL2Uyb0RvYy54bWxQSwECLQAUAAYA&#10;CAAAACEACnWiKeAAAAALAQAADwAAAAAAAAAAAAAAAABvBAAAZHJzL2Rvd25yZXYueG1sUEsFBgAA&#10;AAAEAAQA8wAAAHwFAAAAAA==&#10;" filled="f" stroked="f" strokeweight=".5pt">
                <v:textbox>
                  <w:txbxContent>
                    <w:p w14:paraId="77C4649E" w14:textId="0F870A3C" w:rsidR="00A014B7" w:rsidRPr="00211FB9" w:rsidRDefault="00F17693" w:rsidP="00DF37D2">
                      <w:pPr>
                        <w:spacing w:after="120"/>
                        <w:rPr>
                          <w:rFonts w:ascii="Avenir Book" w:hAnsi="Avenir Book"/>
                          <w:color w:val="DF8420"/>
                          <w:sz w:val="22"/>
                          <w:szCs w:val="22"/>
                        </w:rPr>
                      </w:pPr>
                      <w:r w:rsidRPr="00211FB9">
                        <w:rPr>
                          <w:rFonts w:ascii="Avenir Book" w:hAnsi="Avenir Book"/>
                          <w:color w:val="DF8420"/>
                          <w:sz w:val="22"/>
                          <w:szCs w:val="22"/>
                        </w:rPr>
                        <w:t>RESEA</w:t>
                      </w:r>
                      <w:r w:rsidR="00AF1316" w:rsidRPr="00211FB9">
                        <w:rPr>
                          <w:rFonts w:ascii="Avenir Book" w:hAnsi="Avenir Book"/>
                          <w:color w:val="DF8420"/>
                          <w:sz w:val="22"/>
                          <w:szCs w:val="22"/>
                        </w:rPr>
                        <w:t>R</w:t>
                      </w:r>
                      <w:r w:rsidRPr="00211FB9">
                        <w:rPr>
                          <w:rFonts w:ascii="Avenir Book" w:hAnsi="Avenir Book"/>
                          <w:color w:val="DF8420"/>
                          <w:sz w:val="22"/>
                          <w:szCs w:val="22"/>
                        </w:rPr>
                        <w:t>CH AR</w:t>
                      </w:r>
                      <w:r w:rsidR="00AF1316" w:rsidRPr="00211FB9">
                        <w:rPr>
                          <w:rFonts w:ascii="Avenir Book" w:hAnsi="Avenir Book"/>
                          <w:color w:val="DF8420"/>
                          <w:sz w:val="22"/>
                          <w:szCs w:val="22"/>
                        </w:rPr>
                        <w:t>TICLE</w:t>
                      </w:r>
                    </w:p>
                    <w:p w14:paraId="6E869934" w14:textId="7A9303B2" w:rsidR="00BE3298" w:rsidRPr="00BE3298" w:rsidRDefault="00C13FAA" w:rsidP="00DF37D2">
                      <w:pPr>
                        <w:numPr>
                          <w:ilvl w:val="12"/>
                          <w:numId w:val="0"/>
                        </w:numPr>
                        <w:spacing w:after="120"/>
                        <w:rPr>
                          <w:rFonts w:ascii="Avenir Book" w:hAnsi="Avenir Book" w:cs="Times New Roman"/>
                          <w:b/>
                          <w:sz w:val="10"/>
                          <w:szCs w:val="10"/>
                        </w:rPr>
                      </w:pPr>
                      <w:r w:rsidRPr="00C13FAA">
                        <w:rPr>
                          <w:rFonts w:ascii="Avenir Book" w:hAnsi="Avenir Book"/>
                          <w:color w:val="11639F"/>
                          <w:sz w:val="36"/>
                          <w:szCs w:val="36"/>
                        </w:rPr>
                        <w:t>Built Environment as a Dangerous Ecosystem</w:t>
                      </w:r>
                    </w:p>
                    <w:p w14:paraId="4B18B9CE" w14:textId="77777777" w:rsidR="002C37FA" w:rsidRPr="002C37FA" w:rsidRDefault="002C37FA" w:rsidP="002C37FA">
                      <w:pPr>
                        <w:pStyle w:val="NormalWeb"/>
                        <w:spacing w:before="0" w:beforeAutospacing="0" w:after="0" w:afterAutospacing="0"/>
                        <w:jc w:val="both"/>
                        <w:rPr>
                          <w:rFonts w:ascii="Avenir Book" w:hAnsi="Avenir Book"/>
                          <w:b/>
                          <w:bCs/>
                          <w:sz w:val="22"/>
                          <w:szCs w:val="22"/>
                          <w:vertAlign w:val="superscript"/>
                        </w:rPr>
                      </w:pPr>
                      <w:r w:rsidRPr="002C37FA">
                        <w:rPr>
                          <w:rFonts w:ascii="Avenir Book" w:hAnsi="Avenir Book"/>
                          <w:b/>
                          <w:bCs/>
                          <w:sz w:val="22"/>
                          <w:szCs w:val="22"/>
                        </w:rPr>
                        <w:t>Michael Schrantz</w:t>
                      </w:r>
                      <w:r>
                        <w:rPr>
                          <w:rFonts w:ascii="Avenir Book" w:hAnsi="Avenir Book"/>
                          <w:b/>
                          <w:bCs/>
                          <w:sz w:val="22"/>
                          <w:szCs w:val="22"/>
                        </w:rPr>
                        <w:t xml:space="preserve"> </w:t>
                      </w:r>
                      <w:r>
                        <w:rPr>
                          <w:rFonts w:ascii="Avenir Book" w:hAnsi="Avenir Book"/>
                          <w:b/>
                          <w:bCs/>
                          <w:sz w:val="22"/>
                          <w:szCs w:val="22"/>
                          <w:vertAlign w:val="superscript"/>
                        </w:rPr>
                        <w:t>1</w:t>
                      </w:r>
                      <w:r w:rsidRPr="002C37FA">
                        <w:rPr>
                          <w:rFonts w:ascii="Avenir Book" w:hAnsi="Avenir Book"/>
                          <w:b/>
                          <w:bCs/>
                          <w:sz w:val="22"/>
                          <w:szCs w:val="22"/>
                        </w:rPr>
                        <w:t>, John Banta</w:t>
                      </w:r>
                      <w:r>
                        <w:rPr>
                          <w:rFonts w:ascii="Avenir Book" w:hAnsi="Avenir Book"/>
                          <w:b/>
                          <w:bCs/>
                          <w:sz w:val="22"/>
                          <w:szCs w:val="22"/>
                        </w:rPr>
                        <w:t xml:space="preserve"> </w:t>
                      </w:r>
                      <w:r>
                        <w:rPr>
                          <w:rFonts w:ascii="Avenir Book" w:hAnsi="Avenir Book"/>
                          <w:b/>
                          <w:bCs/>
                          <w:sz w:val="22"/>
                          <w:szCs w:val="22"/>
                          <w:vertAlign w:val="superscript"/>
                        </w:rPr>
                        <w:t>2</w:t>
                      </w:r>
                      <w:r w:rsidRPr="002C37FA">
                        <w:rPr>
                          <w:rFonts w:ascii="Avenir Book" w:hAnsi="Avenir Book"/>
                          <w:b/>
                          <w:bCs/>
                          <w:sz w:val="22"/>
                          <w:szCs w:val="22"/>
                        </w:rPr>
                        <w:t xml:space="preserve">, Larry Schwartz </w:t>
                      </w:r>
                      <w:r>
                        <w:rPr>
                          <w:rFonts w:ascii="Avenir Book" w:hAnsi="Avenir Book"/>
                          <w:b/>
                          <w:bCs/>
                          <w:sz w:val="22"/>
                          <w:szCs w:val="22"/>
                          <w:vertAlign w:val="superscript"/>
                        </w:rPr>
                        <w:t>3</w:t>
                      </w:r>
                      <w:r>
                        <w:rPr>
                          <w:rFonts w:ascii="Avenir Book" w:hAnsi="Avenir Book"/>
                          <w:b/>
                          <w:bCs/>
                          <w:sz w:val="22"/>
                          <w:szCs w:val="22"/>
                        </w:rPr>
                        <w:t>,</w:t>
                      </w:r>
                      <w:r w:rsidRPr="002C37FA">
                        <w:rPr>
                          <w:rFonts w:ascii="Avenir Book" w:hAnsi="Avenir Book"/>
                          <w:b/>
                          <w:bCs/>
                          <w:sz w:val="22"/>
                          <w:szCs w:val="22"/>
                        </w:rPr>
                        <w:t xml:space="preserve"> David Lark</w:t>
                      </w:r>
                      <w:r>
                        <w:rPr>
                          <w:rFonts w:ascii="Avenir Book" w:hAnsi="Avenir Book"/>
                          <w:b/>
                          <w:bCs/>
                          <w:sz w:val="22"/>
                          <w:szCs w:val="22"/>
                        </w:rPr>
                        <w:t xml:space="preserve"> </w:t>
                      </w:r>
                      <w:r>
                        <w:rPr>
                          <w:rFonts w:ascii="Avenir Book" w:hAnsi="Avenir Book"/>
                          <w:b/>
                          <w:bCs/>
                          <w:sz w:val="22"/>
                          <w:szCs w:val="22"/>
                          <w:vertAlign w:val="superscript"/>
                        </w:rPr>
                        <w:t>4</w:t>
                      </w:r>
                    </w:p>
                    <w:p w14:paraId="0AD201AA" w14:textId="01E69DFC" w:rsidR="00315BB0" w:rsidRPr="003439EF" w:rsidRDefault="00315BB0" w:rsidP="00DF37D2">
                      <w:pPr>
                        <w:numPr>
                          <w:ilvl w:val="12"/>
                          <w:numId w:val="0"/>
                        </w:numPr>
                        <w:spacing w:after="120"/>
                        <w:rPr>
                          <w:rFonts w:ascii="Avenir Book" w:hAnsi="Avenir Book" w:cs="Times New Roman"/>
                          <w:b/>
                          <w:sz w:val="22"/>
                          <w:szCs w:val="22"/>
                          <w:vertAlign w:val="superscript"/>
                        </w:rPr>
                      </w:pPr>
                    </w:p>
                  </w:txbxContent>
                </v:textbox>
              </v:shape>
            </w:pict>
          </mc:Fallback>
        </mc:AlternateContent>
      </w:r>
      <w:r w:rsidR="005017C0">
        <w:rPr>
          <w:rFonts w:ascii="Avenir Book" w:hAnsi="Avenir Book"/>
          <w:b/>
          <w:bCs/>
          <w:noProof/>
          <w:sz w:val="22"/>
          <w:szCs w:val="22"/>
          <w:lang w:val="en-US"/>
        </w:rPr>
        <mc:AlternateContent>
          <mc:Choice Requires="wps">
            <w:drawing>
              <wp:anchor distT="0" distB="0" distL="114300" distR="114300" simplePos="0" relativeHeight="251661312" behindDoc="0" locked="0" layoutInCell="1" allowOverlap="1" wp14:anchorId="77619EF8" wp14:editId="7E00BE7B">
                <wp:simplePos x="0" y="0"/>
                <wp:positionH relativeFrom="column">
                  <wp:posOffset>501650</wp:posOffset>
                </wp:positionH>
                <wp:positionV relativeFrom="paragraph">
                  <wp:posOffset>-137795</wp:posOffset>
                </wp:positionV>
                <wp:extent cx="3820795" cy="454342"/>
                <wp:effectExtent l="0" t="0" r="0" b="3175"/>
                <wp:wrapNone/>
                <wp:docPr id="553687787" name="Text Box 1"/>
                <wp:cNvGraphicFramePr/>
                <a:graphic xmlns:a="http://schemas.openxmlformats.org/drawingml/2006/main">
                  <a:graphicData uri="http://schemas.microsoft.com/office/word/2010/wordprocessingShape">
                    <wps:wsp>
                      <wps:cNvSpPr txBox="1"/>
                      <wps:spPr>
                        <a:xfrm>
                          <a:off x="0" y="0"/>
                          <a:ext cx="3820795" cy="454342"/>
                        </a:xfrm>
                        <a:prstGeom prst="rect">
                          <a:avLst/>
                        </a:prstGeom>
                        <a:noFill/>
                        <a:ln w="6350">
                          <a:noFill/>
                        </a:ln>
                      </wps:spPr>
                      <wps:txbx>
                        <w:txbxContent>
                          <w:p w14:paraId="7380C080" w14:textId="78FF89A2" w:rsidR="009E40BC" w:rsidRPr="00687651" w:rsidRDefault="009E40BC">
                            <w:pPr>
                              <w:rPr>
                                <w:rFonts w:ascii="Avenir Book" w:hAnsi="Avenir Book"/>
                                <w:b/>
                                <w:bCs/>
                                <w:color w:val="11639F"/>
                              </w:rPr>
                            </w:pPr>
                            <w:r w:rsidRPr="00687651">
                              <w:rPr>
                                <w:rFonts w:ascii="Avenir Book" w:hAnsi="Avenir Book"/>
                                <w:b/>
                                <w:bCs/>
                                <w:color w:val="11639F"/>
                              </w:rPr>
                              <w:t>THE EUROPEAN SOCIETY OF MEDICINE</w:t>
                            </w:r>
                          </w:p>
                          <w:p w14:paraId="61050865" w14:textId="7BDD2D28" w:rsidR="009E40BC" w:rsidRPr="003665B3" w:rsidRDefault="009E40BC">
                            <w:pPr>
                              <w:rPr>
                                <w:rFonts w:ascii="Avenir Book" w:hAnsi="Avenir Book"/>
                                <w:sz w:val="22"/>
                                <w:szCs w:val="22"/>
                                <w:lang w:val="en-US"/>
                              </w:rPr>
                            </w:pPr>
                            <w:r w:rsidRPr="00687651">
                              <w:rPr>
                                <w:rFonts w:ascii="Avenir Book" w:hAnsi="Avenir Book"/>
                                <w:sz w:val="22"/>
                                <w:szCs w:val="22"/>
                              </w:rPr>
                              <w:t>Medical Research Archives</w:t>
                            </w:r>
                            <w:r w:rsidR="004E2692" w:rsidRPr="00687651">
                              <w:rPr>
                                <w:rFonts w:ascii="Avenir Book" w:hAnsi="Avenir Book"/>
                                <w:sz w:val="22"/>
                                <w:szCs w:val="22"/>
                              </w:rPr>
                              <w:t>,</w:t>
                            </w:r>
                            <w:r w:rsidRPr="00687651">
                              <w:rPr>
                                <w:rFonts w:ascii="Avenir Book" w:hAnsi="Avenir Book"/>
                                <w:sz w:val="22"/>
                                <w:szCs w:val="22"/>
                              </w:rPr>
                              <w:t xml:space="preserve"> Volume 1</w:t>
                            </w:r>
                            <w:r w:rsidR="00584DE4">
                              <w:rPr>
                                <w:rFonts w:ascii="Avenir Book" w:hAnsi="Avenir Book"/>
                                <w:sz w:val="22"/>
                                <w:szCs w:val="22"/>
                              </w:rPr>
                              <w:t>3</w:t>
                            </w:r>
                            <w:r w:rsidRPr="00687651">
                              <w:rPr>
                                <w:rFonts w:ascii="Avenir Book" w:hAnsi="Avenir Book"/>
                                <w:sz w:val="22"/>
                                <w:szCs w:val="22"/>
                              </w:rPr>
                              <w:t xml:space="preserve"> Issue </w:t>
                            </w:r>
                            <w:r w:rsidR="008165F3">
                              <w:rPr>
                                <w:rFonts w:ascii="Avenir Book" w:hAnsi="Avenir Book"/>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19EF8" id="_x0000_s1027" type="#_x0000_t202" style="position:absolute;margin-left:39.5pt;margin-top:-10.85pt;width:300.85pt;height: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VGgIAADM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fTu0l6ez+jhGMsm2XTbBLKJJe/jXX+m4CGBKOgFmmJ&#10;aLHD2vk+9ZQSmmlY1UpFapQmbUFvprM0/nCOYHGlscdl1mD5btuRurzaYwvlEdez0DPvDF/VOMOa&#10;Of/KLFKNG6F8/QseUgH2gsGipAL762/3IR8ZwCglLUqnoO7nnllBifqukZv7cZYFrUUnm91O0LHX&#10;ke11RO+bR0B1jvGhGB7NkO/VyZQWmndU+TJ0xRDTHHsX1J/MR98LGl8JF8tlTEJ1GebXemN4KB1Q&#10;DQi/de/MmoEGjwQ+w0lkLP/ARp/b87Hce5B1pCrg3KM6wI/KjGQPryhI/9qPWZe3vvgNAAD//wMA&#10;UEsDBBQABgAIAAAAIQDmWK3h4gAAAAkBAAAPAAAAZHJzL2Rvd25yZXYueG1sTI9BT8JAEIXvJv6H&#10;zZB4gy2NQqmdEtKEmBg9gFy8TbtL29Ddrd0Fqr/e8YS3N3kvb76XrUfTiYsefOsswnwWgdC2cqq1&#10;NcLhYztNQPhAVlHnrEb41h7W+f1dRqlyV7vTl32oBZdYnxJCE0KfSumrRhvyM9dry97RDYYCn0Mt&#10;1UBXLjedjKNoIQ21lj801Oui0dVpfzYIr8X2nXZlbJKfrnh5O276r8PnE+LDZNw8gwh6DLcw/OEz&#10;OuTMVLqzVV50CMsVTwkI03i+BMGBRRKxKBEeVwnIPJP/F+S/AAAA//8DAFBLAQItABQABgAIAAAA&#10;IQC2gziS/gAAAOEBAAATAAAAAAAAAAAAAAAAAAAAAABbQ29udGVudF9UeXBlc10ueG1sUEsBAi0A&#10;FAAGAAgAAAAhADj9If/WAAAAlAEAAAsAAAAAAAAAAAAAAAAALwEAAF9yZWxzLy5yZWxzUEsBAi0A&#10;FAAGAAgAAAAhAJb9EtUaAgAAMwQAAA4AAAAAAAAAAAAAAAAALgIAAGRycy9lMm9Eb2MueG1sUEsB&#10;Ai0AFAAGAAgAAAAhAOZYreHiAAAACQEAAA8AAAAAAAAAAAAAAAAAdAQAAGRycy9kb3ducmV2Lnht&#10;bFBLBQYAAAAABAAEAPMAAACDBQAAAAA=&#10;" filled="f" stroked="f" strokeweight=".5pt">
                <v:textbox>
                  <w:txbxContent>
                    <w:p w14:paraId="7380C080" w14:textId="78FF89A2" w:rsidR="009E40BC" w:rsidRPr="00687651" w:rsidRDefault="009E40BC">
                      <w:pPr>
                        <w:rPr>
                          <w:rFonts w:ascii="Avenir Book" w:hAnsi="Avenir Book"/>
                          <w:b/>
                          <w:bCs/>
                          <w:color w:val="11639F"/>
                        </w:rPr>
                      </w:pPr>
                      <w:r w:rsidRPr="00687651">
                        <w:rPr>
                          <w:rFonts w:ascii="Avenir Book" w:hAnsi="Avenir Book"/>
                          <w:b/>
                          <w:bCs/>
                          <w:color w:val="11639F"/>
                        </w:rPr>
                        <w:t>THE EUROPEAN SOCIETY OF MEDICINE</w:t>
                      </w:r>
                    </w:p>
                    <w:p w14:paraId="61050865" w14:textId="7BDD2D28" w:rsidR="009E40BC" w:rsidRPr="003665B3" w:rsidRDefault="009E40BC">
                      <w:pPr>
                        <w:rPr>
                          <w:rFonts w:ascii="Avenir Book" w:hAnsi="Avenir Book"/>
                          <w:sz w:val="22"/>
                          <w:szCs w:val="22"/>
                          <w:lang w:val="en-US"/>
                        </w:rPr>
                      </w:pPr>
                      <w:r w:rsidRPr="00687651">
                        <w:rPr>
                          <w:rFonts w:ascii="Avenir Book" w:hAnsi="Avenir Book"/>
                          <w:sz w:val="22"/>
                          <w:szCs w:val="22"/>
                        </w:rPr>
                        <w:t>Medical Research Archives</w:t>
                      </w:r>
                      <w:r w:rsidR="004E2692" w:rsidRPr="00687651">
                        <w:rPr>
                          <w:rFonts w:ascii="Avenir Book" w:hAnsi="Avenir Book"/>
                          <w:sz w:val="22"/>
                          <w:szCs w:val="22"/>
                        </w:rPr>
                        <w:t>,</w:t>
                      </w:r>
                      <w:r w:rsidRPr="00687651">
                        <w:rPr>
                          <w:rFonts w:ascii="Avenir Book" w:hAnsi="Avenir Book"/>
                          <w:sz w:val="22"/>
                          <w:szCs w:val="22"/>
                        </w:rPr>
                        <w:t xml:space="preserve"> Volume 1</w:t>
                      </w:r>
                      <w:r w:rsidR="00584DE4">
                        <w:rPr>
                          <w:rFonts w:ascii="Avenir Book" w:hAnsi="Avenir Book"/>
                          <w:sz w:val="22"/>
                          <w:szCs w:val="22"/>
                        </w:rPr>
                        <w:t>3</w:t>
                      </w:r>
                      <w:r w:rsidRPr="00687651">
                        <w:rPr>
                          <w:rFonts w:ascii="Avenir Book" w:hAnsi="Avenir Book"/>
                          <w:sz w:val="22"/>
                          <w:szCs w:val="22"/>
                        </w:rPr>
                        <w:t xml:space="preserve"> Issue </w:t>
                      </w:r>
                      <w:r w:rsidR="008165F3">
                        <w:rPr>
                          <w:rFonts w:ascii="Avenir Book" w:hAnsi="Avenir Book"/>
                          <w:sz w:val="22"/>
                          <w:szCs w:val="22"/>
                        </w:rPr>
                        <w:t>8</w:t>
                      </w:r>
                    </w:p>
                  </w:txbxContent>
                </v:textbox>
              </v:shape>
            </w:pict>
          </mc:Fallback>
        </mc:AlternateContent>
      </w:r>
      <w:r w:rsidR="00512B2F" w:rsidRPr="00C70BDF">
        <w:rPr>
          <w:rFonts w:ascii="Avenir Book" w:hAnsi="Avenir Book"/>
          <w:b/>
          <w:bCs/>
          <w:noProof/>
          <w:sz w:val="22"/>
          <w:szCs w:val="22"/>
          <w:lang w:val="en-US"/>
        </w:rPr>
        <w:drawing>
          <wp:anchor distT="0" distB="0" distL="114300" distR="114300" simplePos="0" relativeHeight="251660288" behindDoc="1" locked="0" layoutInCell="1" allowOverlap="1" wp14:anchorId="6F7B6A0F" wp14:editId="4AEB6953">
            <wp:simplePos x="0" y="0"/>
            <wp:positionH relativeFrom="column">
              <wp:posOffset>-57150</wp:posOffset>
            </wp:positionH>
            <wp:positionV relativeFrom="page">
              <wp:posOffset>96520</wp:posOffset>
            </wp:positionV>
            <wp:extent cx="558800" cy="558800"/>
            <wp:effectExtent l="0" t="0" r="0" b="0"/>
            <wp:wrapTight wrapText="bothSides">
              <wp:wrapPolygon edited="0">
                <wp:start x="6873" y="0"/>
                <wp:lineTo x="3436" y="2945"/>
                <wp:lineTo x="491" y="7364"/>
                <wp:lineTo x="491" y="12273"/>
                <wp:lineTo x="982" y="16691"/>
                <wp:lineTo x="6382" y="20127"/>
                <wp:lineTo x="6873" y="21109"/>
                <wp:lineTo x="13745" y="21109"/>
                <wp:lineTo x="14236" y="20127"/>
                <wp:lineTo x="19636" y="16691"/>
                <wp:lineTo x="20618" y="11782"/>
                <wp:lineTo x="20618" y="6873"/>
                <wp:lineTo x="17182" y="2945"/>
                <wp:lineTo x="13745" y="0"/>
                <wp:lineTo x="687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009E40BC">
        <w:rPr>
          <w:rFonts w:ascii="Poppins" w:hAnsi="Poppins" w:cs="Poppins"/>
          <w:noProof/>
          <w:color w:val="000000"/>
          <w:lang w:eastAsia="en-GB"/>
        </w:rPr>
        <mc:AlternateContent>
          <mc:Choice Requires="wpg">
            <w:drawing>
              <wp:anchor distT="0" distB="0" distL="114300" distR="114300" simplePos="0" relativeHeight="251663360" behindDoc="0" locked="0" layoutInCell="1" allowOverlap="1" wp14:anchorId="42482C88" wp14:editId="115F14AB">
                <wp:simplePos x="0" y="0"/>
                <wp:positionH relativeFrom="column">
                  <wp:posOffset>3536950</wp:posOffset>
                </wp:positionH>
                <wp:positionV relativeFrom="page">
                  <wp:posOffset>-3660140</wp:posOffset>
                </wp:positionV>
                <wp:extent cx="45085" cy="8816340"/>
                <wp:effectExtent l="0" t="4127" r="1587" b="1588"/>
                <wp:wrapTight wrapText="bothSides">
                  <wp:wrapPolygon edited="0">
                    <wp:start x="23578" y="10"/>
                    <wp:lineTo x="5324" y="10"/>
                    <wp:lineTo x="5324" y="21573"/>
                    <wp:lineTo x="23577" y="21573"/>
                    <wp:lineTo x="23578" y="10"/>
                  </wp:wrapPolygon>
                </wp:wrapTight>
                <wp:docPr id="1758015604" name="Group 9"/>
                <wp:cNvGraphicFramePr/>
                <a:graphic xmlns:a="http://schemas.openxmlformats.org/drawingml/2006/main">
                  <a:graphicData uri="http://schemas.microsoft.com/office/word/2010/wordprocessingGroup">
                    <wpg:wgp>
                      <wpg:cNvGrpSpPr/>
                      <wpg:grpSpPr>
                        <a:xfrm rot="16200000" flipH="1">
                          <a:off x="0" y="0"/>
                          <a:ext cx="45085" cy="8816340"/>
                          <a:chOff x="0" y="0"/>
                          <a:chExt cx="283210" cy="10853371"/>
                        </a:xfrm>
                      </wpg:grpSpPr>
                      <wps:wsp>
                        <wps:cNvPr id="1853716313" name="Rectangle 4"/>
                        <wps:cNvSpPr/>
                        <wps:spPr>
                          <a:xfrm>
                            <a:off x="0" y="0"/>
                            <a:ext cx="283210" cy="3707765"/>
                          </a:xfrm>
                          <a:prstGeom prst="rect">
                            <a:avLst/>
                          </a:prstGeom>
                          <a:gradFill flip="none" rotWithShape="1">
                            <a:gsLst>
                              <a:gs pos="70000">
                                <a:srgbClr val="11639F"/>
                              </a:gs>
                              <a:gs pos="100000">
                                <a:srgbClr val="DF8420"/>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542664" name="Rectangle 4"/>
                        <wps:cNvSpPr/>
                        <wps:spPr>
                          <a:xfrm>
                            <a:off x="0" y="7033846"/>
                            <a:ext cx="283210" cy="3819525"/>
                          </a:xfrm>
                          <a:prstGeom prst="rect">
                            <a:avLst/>
                          </a:prstGeom>
                          <a:gradFill flip="none" rotWithShape="1">
                            <a:gsLst>
                              <a:gs pos="0">
                                <a:srgbClr val="DF8420"/>
                              </a:gs>
                              <a:gs pos="19000">
                                <a:srgbClr val="D30C05"/>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933845" name="Rectangle 4"/>
                        <wps:cNvSpPr/>
                        <wps:spPr>
                          <a:xfrm>
                            <a:off x="0" y="3699803"/>
                            <a:ext cx="283210" cy="3336925"/>
                          </a:xfrm>
                          <a:prstGeom prst="rect">
                            <a:avLst/>
                          </a:prstGeom>
                          <a:solidFill>
                            <a:srgbClr val="DF84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39137A" id="Group 9" o:spid="_x0000_s1026" style="position:absolute;margin-left:278.5pt;margin-top:-288.2pt;width:3.55pt;height:694.2pt;rotation:90;flip:x;z-index:251663360;mso-position-vertical-relative:page;mso-width-relative:margin;mso-height-relative:margin" coordsize="2832,10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vt0gMAAAQQAAAOAAAAZHJzL2Uyb0RvYy54bWzsV0tv2zgQvi/Q/0Dw3liyHpaFKEWQrLML&#10;BG3QtMiZoakHQJFcko6d/fUdkpJix0UOfWCxgH2gKXJmOPPNzCfq/MOu5+iJadNJUeH4LMKICSrX&#10;nWgq/PXL6n2BkbFErAmXglX4mRn84eLdH+dbVbK5bCVfM43AiDDlVlW4tVaVs5mhLeuJOZOKCdis&#10;pe6JhUfdzNaabMF6z2fzKMpnW6nXSkvKjIHV67CJL7z9umbUfqprwyziFQbfrB+1Hx/dOLs4J2Wj&#10;iWo7OrhBfsCLnnQCDp1MXRNL0EZ3R6b6jmppZG3PqOxnsq47ynwMEE0cvYrmRsuN8rE05bZRE0wA&#10;7Sucftgs/fh0o9W9utOAxFY1gIV/crHsat0jLQGzOAes4YdRzTv1Fyz4YMF9tPNYPk9Ysp1FFBbT&#10;LCoyjCjsFEWcJ+mANW0hIUdatP1z0JsXyTyGg5xiDCaSZBG7LM2CPzA58HKroG7MCzTm56C5b4li&#10;HnFTAjR3GnVr8APcWEAMcYKRID2U8WcoLCIazlDqnHNegPgEoykNIDpi6P7fgmo/5GQRLRZ5dhAx&#10;KZU29obJHrlJhTWc7hNAnm6NDeCMIkMRrlcd5z5bFRbQedgl8qGzrY9wTGBjQN9rGKQkYLfwWXYr&#10;RjePV1yjJwKdE0Pwy9XgVGP2NeJQGEcq16sinfucQ+aciv8bjuOdQABfhbM0qCNDCWcOancIKW3H&#10;mcM4xAb96eNxO1y4UUgXX9h1K1AUI+Z+Zp85C9KfWQ05hIKce8Q8sbApMEIpEzZUs2nJmoV4Mw9D&#10;MD9p+BC4AIPOcg3nT7YHA460jm0HM4O8U2Welybl6C3HgvKk4U+Wwk7KfSek/p4BDlENJwf5EaQA&#10;jUPpUa6focJ9h0PHGUVXHdTXLTH2jmigQVgEarefYKi53FZYDjOMWqn//d66k4cWhF2MtkCrFTb/&#10;bIiG+uN/CyiwZZwCEyDrH9JsASWC9P7O4/6O2PRX0tWf985Pnbzl47TWsn+AN8ClOxW2iKBwdoWp&#10;1ePDlQ10D+8Qyi4vvRhwryL2VtwrOraC658vuwei1dBkFpjsoxwJgZSvei3IunwIebmxsu58sb7g&#10;OuAN5BT44bezVJ4ts3Se5+mvIalFlCRFmod+HFn9gKqKeJnN/zOqGtpmn6aOOMcxTyC2eAktHfrk&#10;QCOJrqIxhBNLjax2YqkTSwGT/Y67VFJES0cscDf8FVepJF8uiyh5g6USEPlZljKSd9MN5OBmdEA5&#10;B2Kni0p9uqj83y4q/uMKPjX9XXf4LHbfsvvP/mLz8vF+8Q0AAP//AwBQSwMEFAAGAAgAAAAhALKr&#10;ZhfgAAAADQEAAA8AAABkcnMvZG93bnJldi54bWxMj81uwjAQhO+V+g7WVuolAucHUBvioLYS6hnC&#10;A5h4SSxiO40dCG/fzam97Wg+zc4Uu8l07IaD184KSJYxMLS1U9o2Ak7VfvEGzAdpleycRQEP9LAr&#10;n58KmSt3twe8HUPDKMT6XApoQ+hzzn3dopF+6Xq05F3cYGQgOTRcDfJO4abjaRxvuJHa0odW9vjV&#10;Yn09jkbAJXoP1X7Uev0THt/9ZxUdTtEoxOvL9LEFFnAKfzDM9ak6lNTp7EarPOsELJIs2xBLTrJK&#10;gc1Iul7RnPN8JRnwsuD/V5S/AAAA//8DAFBLAQItABQABgAIAAAAIQC2gziS/gAAAOEBAAATAAAA&#10;AAAAAAAAAAAAAAAAAABbQ29udGVudF9UeXBlc10ueG1sUEsBAi0AFAAGAAgAAAAhADj9If/WAAAA&#10;lAEAAAsAAAAAAAAAAAAAAAAALwEAAF9yZWxzLy5yZWxzUEsBAi0AFAAGAAgAAAAhAIxW2+3SAwAA&#10;BBAAAA4AAAAAAAAAAAAAAAAALgIAAGRycy9lMm9Eb2MueG1sUEsBAi0AFAAGAAgAAAAhALKrZhfg&#10;AAAADQEAAA8AAAAAAAAAAAAAAAAALAYAAGRycy9kb3ducmV2LnhtbFBLBQYAAAAABAAEAPMAAAA5&#10;BwAAAAA=&#10;">
                <v:rect id="Rectangle 4" o:spid="_x0000_s1027" style="position:absolute;width:2832;height:37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J6yQAAAOMAAAAPAAAAZHJzL2Rvd25yZXYueG1sRE/NasJA&#10;EL4X+g7LFHopdZPGJhJdRYSCQg+aVsTbkB2TYHY2ZLca394tFHqc739mi8G04kK9aywriEcRCOLS&#10;6oYrBd9fH68TEM4ja2wtk4IbOVjMHx9mmGt75R1dCl+JEMIuRwW1910upStrMuhGtiMO3Mn2Bn04&#10;+0rqHq8h3LTyLYpSabDh0FBjR6uaynPxYxSMx6vtS7GP0bjs0B04/Uw2x1Kp56dhOQXhafD/4j/3&#10;Wof5k/cki9MkTuD3pwCAnN8BAAD//wMAUEsBAi0AFAAGAAgAAAAhANvh9svuAAAAhQEAABMAAAAA&#10;AAAAAAAAAAAAAAAAAFtDb250ZW50X1R5cGVzXS54bWxQSwECLQAUAAYACAAAACEAWvQsW78AAAAV&#10;AQAACwAAAAAAAAAAAAAAAAAfAQAAX3JlbHMvLnJlbHNQSwECLQAUAAYACAAAACEAZKGieskAAADj&#10;AAAADwAAAAAAAAAAAAAAAAAHAgAAZHJzL2Rvd25yZXYueG1sUEsFBgAAAAADAAMAtwAAAP0CAAAA&#10;AA==&#10;" fillcolor="#11639f" stroked="f" strokeweight="1pt">
                  <v:fill color2="#df8420" rotate="t" colors="0 #11639f;45875f #11639f" focus="100%" type="gradient"/>
                </v:rect>
                <v:rect id="Rectangle 4" o:spid="_x0000_s1028" style="position:absolute;top:70338;width:2832;height:38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W4yAAAAOIAAAAPAAAAZHJzL2Rvd25yZXYueG1sRI/NasMw&#10;EITvhb6D2EIuoZHrxCZxooQ2pdBrkj7AYm38q5WRVMd5+6pQ6HGYmW+Y3WEyvRjJ+caygpdFAoK4&#10;tLrhSsHX5eN5DcIHZI29ZVJwJw+H/ePDDgttb3yi8RwqESHsC1RQhzAUUvqyJoN+YQfi6F2tMxii&#10;dJXUDm8RbnqZJkkuDTYcF2oc6FhT2Z2/jQK28/duOc67pTu2Sfs2Zpy2mVKzp+l1CyLQFP7Df+1P&#10;rSDPNtkqzfMV/F6Kd0DufwAAAP//AwBQSwECLQAUAAYACAAAACEA2+H2y+4AAACFAQAAEwAAAAAA&#10;AAAAAAAAAAAAAAAAW0NvbnRlbnRfVHlwZXNdLnhtbFBLAQItABQABgAIAAAAIQBa9CxbvwAAABUB&#10;AAALAAAAAAAAAAAAAAAAAB8BAABfcmVscy8ucmVsc1BLAQItABQABgAIAAAAIQD91nW4yAAAAOIA&#10;AAAPAAAAAAAAAAAAAAAAAAcCAABkcnMvZG93bnJldi54bWxQSwUGAAAAAAMAAwC3AAAA/AIAAAAA&#10;" fillcolor="#df8420" stroked="f" strokeweight="1pt">
                  <v:fill color2="#d30c05" rotate="t" colors="0 #df8420;12452f #d30c05" focus="100%" type="gradient"/>
                </v:rect>
                <v:rect id="Rectangle 4" o:spid="_x0000_s1029" style="position:absolute;top:36998;width:2832;height:33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8gyQAAAOIAAAAPAAAAZHJzL2Rvd25yZXYueG1sRI9PS8NA&#10;FMTvBb/D8gRv7UajIcZui1QEoReNgV4fuy9/MPs2Ztc0fvtuodDjMDO/Ydbb2fZiotF3jhXcrxIQ&#10;xNqZjhsF1ff7MgfhA7LB3jEp+CcP283NYo2FcUf+oqkMjYgQ9gUqaEMYCim9bsmiX7mBOHq1Gy2G&#10;KMdGmhGPEW57+ZAkmbTYcVxocaBdS/qn/LMKaj7krsp+P90b+myv61JPh51Sd7fz6wuIQHO4hi/t&#10;D6MgzZPnNM0fn+B8Kd4BuTkBAAD//wMAUEsBAi0AFAAGAAgAAAAhANvh9svuAAAAhQEAABMAAAAA&#10;AAAAAAAAAAAAAAAAAFtDb250ZW50X1R5cGVzXS54bWxQSwECLQAUAAYACAAAACEAWvQsW78AAAAV&#10;AQAACwAAAAAAAAAAAAAAAAAfAQAAX3JlbHMvLnJlbHNQSwECLQAUAAYACAAAACEAkRL/IMkAAADi&#10;AAAADwAAAAAAAAAAAAAAAAAHAgAAZHJzL2Rvd25yZXYueG1sUEsFBgAAAAADAAMAtwAAAP0CAAAA&#10;AA==&#10;" fillcolor="#df8420" stroked="f" strokeweight="1pt"/>
                <w10:wrap type="tight" anchory="page"/>
              </v:group>
            </w:pict>
          </mc:Fallback>
        </mc:AlternateContent>
      </w:r>
    </w:p>
    <w:p w14:paraId="26967231" w14:textId="3832E015" w:rsidR="00E809D1" w:rsidRDefault="00E809D1" w:rsidP="00720C4E">
      <w:pPr>
        <w:spacing w:line="276" w:lineRule="auto"/>
        <w:rPr>
          <w:rFonts w:ascii="Avenir Book" w:hAnsi="Avenir Book"/>
          <w:sz w:val="21"/>
          <w:szCs w:val="21"/>
          <w:lang w:val="en-US"/>
        </w:rPr>
      </w:pPr>
    </w:p>
    <w:p w14:paraId="3DB40281" w14:textId="3EF92E70" w:rsidR="009E40BC" w:rsidRDefault="009E40BC" w:rsidP="00720C4E">
      <w:pPr>
        <w:spacing w:line="276" w:lineRule="auto"/>
        <w:rPr>
          <w:rFonts w:ascii="Avenir Book" w:hAnsi="Avenir Book" w:cs="Times New Roman (Body CS)"/>
          <w:position w:val="6"/>
          <w:sz w:val="20"/>
          <w:szCs w:val="20"/>
          <w:lang w:val="en-US"/>
        </w:rPr>
      </w:pPr>
    </w:p>
    <w:p w14:paraId="12F7AD81" w14:textId="77777777" w:rsidR="009E40BC" w:rsidRDefault="009E40BC" w:rsidP="00720C4E">
      <w:pPr>
        <w:spacing w:line="276" w:lineRule="auto"/>
        <w:rPr>
          <w:rFonts w:ascii="Avenir Book" w:hAnsi="Avenir Book" w:cs="Times New Roman (Body CS)"/>
          <w:position w:val="6"/>
          <w:sz w:val="20"/>
          <w:szCs w:val="20"/>
          <w:lang w:val="en-US"/>
        </w:rPr>
      </w:pPr>
    </w:p>
    <w:p w14:paraId="0B3BDFD7" w14:textId="77777777" w:rsidR="009E40BC" w:rsidRDefault="009E40BC" w:rsidP="00720C4E">
      <w:pPr>
        <w:spacing w:line="276" w:lineRule="auto"/>
        <w:rPr>
          <w:rFonts w:ascii="Avenir Book" w:hAnsi="Avenir Book" w:cs="Times New Roman (Body CS)"/>
          <w:position w:val="6"/>
          <w:sz w:val="20"/>
          <w:szCs w:val="20"/>
          <w:lang w:val="en-US"/>
        </w:rPr>
      </w:pPr>
    </w:p>
    <w:p w14:paraId="0A2CD0A0" w14:textId="77777777" w:rsidR="009E40BC" w:rsidRDefault="009E40BC" w:rsidP="00720C4E">
      <w:pPr>
        <w:spacing w:line="276" w:lineRule="auto"/>
        <w:rPr>
          <w:rFonts w:ascii="Avenir Book" w:hAnsi="Avenir Book" w:cs="Times New Roman (Body CS)"/>
          <w:position w:val="6"/>
          <w:sz w:val="20"/>
          <w:szCs w:val="20"/>
          <w:lang w:val="en-US"/>
        </w:rPr>
      </w:pPr>
    </w:p>
    <w:p w14:paraId="0C0D21EB" w14:textId="77777777" w:rsidR="00BE3298" w:rsidRDefault="00BE3298" w:rsidP="003F65A4">
      <w:pPr>
        <w:pStyle w:val="NormalWeb"/>
        <w:spacing w:before="0" w:beforeAutospacing="0" w:after="0" w:afterAutospacing="0" w:line="276" w:lineRule="auto"/>
        <w:rPr>
          <w:rFonts w:ascii="Avenir Book" w:hAnsi="Avenir Book"/>
          <w:b/>
          <w:bCs/>
          <w:color w:val="000000" w:themeColor="text1"/>
          <w:sz w:val="19"/>
          <w:szCs w:val="19"/>
          <w:vertAlign w:val="superscript"/>
        </w:rPr>
      </w:pPr>
    </w:p>
    <w:p w14:paraId="3D10FBF4" w14:textId="77777777" w:rsidR="00DF37D2" w:rsidRDefault="00DF37D2" w:rsidP="003F65A4">
      <w:pPr>
        <w:pStyle w:val="NormalWeb"/>
        <w:spacing w:before="0" w:beforeAutospacing="0" w:after="0" w:afterAutospacing="0" w:line="276" w:lineRule="auto"/>
        <w:rPr>
          <w:rFonts w:ascii="Avenir Book" w:hAnsi="Avenir Book"/>
          <w:b/>
          <w:bCs/>
          <w:color w:val="000000" w:themeColor="text1"/>
          <w:sz w:val="19"/>
          <w:szCs w:val="19"/>
          <w:vertAlign w:val="superscript"/>
        </w:rPr>
        <w:sectPr w:rsidR="00DF37D2" w:rsidSect="00A014B7">
          <w:headerReference w:type="default" r:id="rId9"/>
          <w:footerReference w:type="even" r:id="rId10"/>
          <w:footerReference w:type="default" r:id="rId11"/>
          <w:footerReference w:type="first" r:id="rId12"/>
          <w:type w:val="continuous"/>
          <w:pgSz w:w="11906" w:h="16838"/>
          <w:pgMar w:top="720" w:right="720" w:bottom="720" w:left="720" w:header="709" w:footer="283" w:gutter="0"/>
          <w:cols w:space="567"/>
          <w:titlePg/>
          <w:docGrid w:linePitch="360"/>
        </w:sectPr>
      </w:pPr>
    </w:p>
    <w:p w14:paraId="13305F25" w14:textId="77777777" w:rsidR="003F65A4" w:rsidRPr="003F65A4" w:rsidRDefault="003F65A4" w:rsidP="003F65A4">
      <w:pPr>
        <w:spacing w:line="276" w:lineRule="auto"/>
        <w:rPr>
          <w:rFonts w:ascii="Avenir Book" w:hAnsi="Avenir Book" w:cs="Times New Roman"/>
          <w:sz w:val="19"/>
          <w:szCs w:val="19"/>
        </w:rPr>
      </w:pPr>
      <w:r w:rsidRPr="003F65A4">
        <w:rPr>
          <w:rFonts w:ascii="Avenir Book" w:hAnsi="Avenir Book" w:cs="Times New Roman"/>
          <w:b/>
          <w:bCs/>
          <w:sz w:val="19"/>
          <w:szCs w:val="19"/>
          <w:vertAlign w:val="superscript"/>
        </w:rPr>
        <w:t>1</w:t>
      </w:r>
      <w:r>
        <w:rPr>
          <w:rFonts w:ascii="Avenir Book" w:hAnsi="Avenir Book" w:cs="Times New Roman"/>
          <w:sz w:val="19"/>
          <w:szCs w:val="19"/>
          <w:vertAlign w:val="superscript"/>
        </w:rPr>
        <w:t xml:space="preserve"> </w:t>
      </w:r>
      <w:r w:rsidRPr="003F65A4">
        <w:rPr>
          <w:rFonts w:ascii="Avenir Book" w:hAnsi="Avenir Book" w:cs="Times New Roman"/>
          <w:sz w:val="19"/>
          <w:szCs w:val="19"/>
        </w:rPr>
        <w:t>Environmental Analytics LLC, Tucson, AZ</w:t>
      </w:r>
    </w:p>
    <w:p w14:paraId="41BEBEEC" w14:textId="77777777" w:rsidR="003F65A4" w:rsidRPr="003F65A4" w:rsidRDefault="003F65A4" w:rsidP="003F65A4">
      <w:pPr>
        <w:spacing w:line="276" w:lineRule="auto"/>
        <w:rPr>
          <w:rFonts w:ascii="Avenir Book" w:hAnsi="Avenir Book" w:cs="Times New Roman"/>
          <w:sz w:val="19"/>
          <w:szCs w:val="19"/>
        </w:rPr>
      </w:pPr>
      <w:r w:rsidRPr="003F65A4">
        <w:rPr>
          <w:rFonts w:ascii="Avenir Book" w:hAnsi="Avenir Book" w:cs="Times New Roman"/>
          <w:b/>
          <w:bCs/>
          <w:sz w:val="19"/>
          <w:szCs w:val="19"/>
          <w:vertAlign w:val="superscript"/>
        </w:rPr>
        <w:t xml:space="preserve">2 </w:t>
      </w:r>
      <w:r w:rsidRPr="003F65A4">
        <w:rPr>
          <w:rFonts w:ascii="Avenir Book" w:hAnsi="Avenir Book" w:cs="Times New Roman"/>
          <w:sz w:val="19"/>
          <w:szCs w:val="19"/>
        </w:rPr>
        <w:t>RestCon Environmental, Rancho Cordova, CA</w:t>
      </w:r>
    </w:p>
    <w:p w14:paraId="4DAF2B37" w14:textId="77777777" w:rsidR="003F65A4" w:rsidRPr="003F65A4" w:rsidRDefault="003F65A4" w:rsidP="003F65A4">
      <w:pPr>
        <w:spacing w:line="276" w:lineRule="auto"/>
        <w:rPr>
          <w:rFonts w:ascii="Avenir Book" w:hAnsi="Avenir Book" w:cs="Times New Roman"/>
          <w:sz w:val="19"/>
          <w:szCs w:val="19"/>
        </w:rPr>
      </w:pPr>
      <w:r w:rsidRPr="003F65A4">
        <w:rPr>
          <w:rFonts w:ascii="Avenir Book" w:hAnsi="Avenir Book" w:cs="Times New Roman"/>
          <w:b/>
          <w:bCs/>
          <w:sz w:val="19"/>
          <w:szCs w:val="19"/>
          <w:vertAlign w:val="superscript"/>
        </w:rPr>
        <w:t xml:space="preserve">3 </w:t>
      </w:r>
      <w:r w:rsidRPr="003F65A4">
        <w:rPr>
          <w:rFonts w:ascii="Avenir Book" w:hAnsi="Avenir Book" w:cs="Times New Roman"/>
          <w:sz w:val="19"/>
          <w:szCs w:val="19"/>
        </w:rPr>
        <w:t>Safestart Environmental, Buffalo Grove, IL</w:t>
      </w:r>
    </w:p>
    <w:p w14:paraId="5419C1C2" w14:textId="7046012A" w:rsidR="003F65A4" w:rsidRPr="003F65A4" w:rsidRDefault="003F65A4" w:rsidP="003F65A4">
      <w:pPr>
        <w:spacing w:line="276" w:lineRule="auto"/>
        <w:rPr>
          <w:rFonts w:ascii="Avenir Book" w:hAnsi="Avenir Book" w:cs="Times New Roman"/>
          <w:sz w:val="19"/>
          <w:szCs w:val="19"/>
        </w:rPr>
      </w:pPr>
      <w:r w:rsidRPr="003F65A4">
        <w:rPr>
          <w:rFonts w:ascii="Avenir Book" w:hAnsi="Avenir Book" w:cs="Times New Roman"/>
          <w:b/>
          <w:bCs/>
          <w:sz w:val="19"/>
          <w:szCs w:val="19"/>
          <w:vertAlign w:val="superscript"/>
        </w:rPr>
        <w:t xml:space="preserve">4 </w:t>
      </w:r>
      <w:r w:rsidRPr="003F65A4">
        <w:rPr>
          <w:rFonts w:ascii="Avenir Book" w:hAnsi="Avenir Book" w:cs="Times New Roman"/>
          <w:sz w:val="19"/>
          <w:szCs w:val="19"/>
        </w:rPr>
        <w:t xml:space="preserve">NSJ EnviroSciences Pty Ltd, Newcastle, </w:t>
      </w:r>
      <w:r w:rsidR="00D33ED5">
        <w:rPr>
          <w:rFonts w:ascii="Avenir Book" w:hAnsi="Avenir Book" w:cs="Times New Roman"/>
          <w:sz w:val="19"/>
          <w:szCs w:val="19"/>
          <w:lang w:val="en-US"/>
        </w:rPr>
        <w:t xml:space="preserve">NSW, </w:t>
      </w:r>
      <w:r w:rsidRPr="003F65A4">
        <w:rPr>
          <w:rFonts w:ascii="Avenir Book" w:hAnsi="Avenir Book" w:cs="Times New Roman"/>
          <w:sz w:val="19"/>
          <w:szCs w:val="19"/>
        </w:rPr>
        <w:t>Australia</w:t>
      </w:r>
    </w:p>
    <w:p w14:paraId="1368FFE6" w14:textId="77777777" w:rsidR="000A2881" w:rsidRPr="00501BB9" w:rsidRDefault="000A2881" w:rsidP="003F65A4">
      <w:pPr>
        <w:spacing w:line="276" w:lineRule="auto"/>
        <w:rPr>
          <w:rFonts w:ascii="Avenir Book" w:hAnsi="Avenir Book" w:cs="Times New Roman (Body CS)"/>
          <w:position w:val="6"/>
          <w:sz w:val="20"/>
          <w:szCs w:val="20"/>
        </w:rPr>
      </w:pPr>
    </w:p>
    <w:p w14:paraId="3E2DD6F3" w14:textId="77777777" w:rsidR="000A2881" w:rsidRPr="00501BB9" w:rsidRDefault="000A2881" w:rsidP="003F65A4">
      <w:pPr>
        <w:spacing w:line="276" w:lineRule="auto"/>
        <w:ind w:hanging="90"/>
        <w:rPr>
          <w:rFonts w:ascii="Avenir Book" w:hAnsi="Avenir Book"/>
          <w:sz w:val="19"/>
          <w:szCs w:val="19"/>
        </w:rPr>
      </w:pPr>
      <w:r w:rsidRPr="00501BB9">
        <w:rPr>
          <w:rFonts w:ascii="Avenir Book" w:hAnsi="Avenir Book"/>
          <w:noProof/>
          <w:sz w:val="19"/>
          <w:szCs w:val="19"/>
        </w:rPr>
        <w:drawing>
          <wp:inline distT="0" distB="0" distL="0" distR="0" wp14:anchorId="4692CDC8" wp14:editId="08ED534B">
            <wp:extent cx="233436" cy="2334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490" cy="254490"/>
                    </a:xfrm>
                    <a:prstGeom prst="rect">
                      <a:avLst/>
                    </a:prstGeom>
                  </pic:spPr>
                </pic:pic>
              </a:graphicData>
            </a:graphic>
          </wp:inline>
        </w:drawing>
      </w:r>
      <w:r w:rsidRPr="00501BB9">
        <w:rPr>
          <w:rFonts w:ascii="Avenir Book" w:hAnsi="Avenir Book" w:cs="Times New Roman (Body CS)"/>
          <w:position w:val="6"/>
          <w:sz w:val="19"/>
          <w:szCs w:val="19"/>
        </w:rPr>
        <w:t>OPEN ACCESS</w:t>
      </w:r>
    </w:p>
    <w:p w14:paraId="7F9BEB2F" w14:textId="77777777" w:rsidR="000A2881" w:rsidRPr="00501BB9" w:rsidRDefault="000A2881" w:rsidP="003F65A4">
      <w:pPr>
        <w:spacing w:line="276" w:lineRule="auto"/>
        <w:rPr>
          <w:rFonts w:ascii="Avenir Book" w:hAnsi="Avenir Book"/>
          <w:sz w:val="19"/>
          <w:szCs w:val="19"/>
        </w:rPr>
      </w:pPr>
    </w:p>
    <w:p w14:paraId="1B9A7226" w14:textId="77777777" w:rsidR="000A2881" w:rsidRPr="00501BB9" w:rsidRDefault="000A2881" w:rsidP="003F65A4">
      <w:pPr>
        <w:spacing w:line="276" w:lineRule="auto"/>
        <w:jc w:val="both"/>
        <w:rPr>
          <w:rFonts w:ascii="Avenir Book" w:hAnsi="Avenir Book"/>
          <w:b/>
          <w:bCs/>
          <w:sz w:val="19"/>
          <w:szCs w:val="19"/>
        </w:rPr>
      </w:pPr>
      <w:r w:rsidRPr="00501BB9">
        <w:rPr>
          <w:rFonts w:ascii="Avenir Book" w:hAnsi="Avenir Book"/>
          <w:b/>
          <w:bCs/>
          <w:sz w:val="19"/>
          <w:szCs w:val="19"/>
        </w:rPr>
        <w:t>PUBLISHED</w:t>
      </w:r>
    </w:p>
    <w:p w14:paraId="0F19C9E4" w14:textId="7F29E117" w:rsidR="000A2881" w:rsidRPr="00501BB9" w:rsidRDefault="007F49C6" w:rsidP="003F65A4">
      <w:pPr>
        <w:spacing w:line="276" w:lineRule="auto"/>
        <w:jc w:val="both"/>
        <w:rPr>
          <w:rFonts w:ascii="Avenir Book" w:hAnsi="Avenir Book"/>
          <w:sz w:val="19"/>
          <w:szCs w:val="19"/>
        </w:rPr>
      </w:pPr>
      <w:r>
        <w:rPr>
          <w:rFonts w:ascii="Avenir Book" w:hAnsi="Avenir Book"/>
          <w:sz w:val="19"/>
          <w:szCs w:val="19"/>
        </w:rPr>
        <w:t>31</w:t>
      </w:r>
      <w:r w:rsidR="00810847">
        <w:rPr>
          <w:rFonts w:ascii="Avenir Book" w:hAnsi="Avenir Book"/>
          <w:sz w:val="19"/>
          <w:szCs w:val="19"/>
        </w:rPr>
        <w:t xml:space="preserve"> </w:t>
      </w:r>
      <w:r>
        <w:rPr>
          <w:rFonts w:ascii="Avenir Book" w:hAnsi="Avenir Book"/>
          <w:sz w:val="19"/>
          <w:szCs w:val="19"/>
        </w:rPr>
        <w:t>August</w:t>
      </w:r>
      <w:r w:rsidR="00810847">
        <w:rPr>
          <w:rFonts w:ascii="Avenir Book" w:hAnsi="Avenir Book"/>
          <w:sz w:val="19"/>
          <w:szCs w:val="19"/>
        </w:rPr>
        <w:t xml:space="preserve"> </w:t>
      </w:r>
      <w:r w:rsidR="000A2881" w:rsidRPr="00501BB9">
        <w:rPr>
          <w:rFonts w:ascii="Avenir Book" w:hAnsi="Avenir Book"/>
          <w:sz w:val="19"/>
          <w:szCs w:val="19"/>
        </w:rPr>
        <w:t>202</w:t>
      </w:r>
      <w:r w:rsidR="00584DE4">
        <w:rPr>
          <w:rFonts w:ascii="Avenir Book" w:hAnsi="Avenir Book"/>
          <w:sz w:val="19"/>
          <w:szCs w:val="19"/>
        </w:rPr>
        <w:t>5</w:t>
      </w:r>
    </w:p>
    <w:p w14:paraId="6B62D823" w14:textId="77777777" w:rsidR="000A2881" w:rsidRPr="00501BB9" w:rsidRDefault="000A2881" w:rsidP="003F65A4">
      <w:pPr>
        <w:spacing w:line="276" w:lineRule="auto"/>
        <w:jc w:val="both"/>
        <w:rPr>
          <w:rFonts w:ascii="Avenir Book" w:hAnsi="Avenir Book"/>
          <w:sz w:val="19"/>
          <w:szCs w:val="19"/>
        </w:rPr>
      </w:pPr>
    </w:p>
    <w:p w14:paraId="4A0AAC47" w14:textId="77777777" w:rsidR="000A2881" w:rsidRPr="00501BB9" w:rsidRDefault="000A2881" w:rsidP="003F65A4">
      <w:pPr>
        <w:pStyle w:val="NormalWeb"/>
        <w:spacing w:before="0" w:beforeAutospacing="0" w:after="0" w:afterAutospacing="0" w:line="276" w:lineRule="auto"/>
        <w:jc w:val="both"/>
        <w:rPr>
          <w:rFonts w:ascii="Avenir Book" w:hAnsi="Avenir Book"/>
          <w:b/>
          <w:bCs/>
          <w:sz w:val="19"/>
          <w:szCs w:val="19"/>
        </w:rPr>
      </w:pPr>
      <w:r w:rsidRPr="00501BB9">
        <w:rPr>
          <w:rFonts w:ascii="Avenir Book" w:hAnsi="Avenir Book"/>
          <w:b/>
          <w:bCs/>
          <w:sz w:val="19"/>
          <w:szCs w:val="19"/>
        </w:rPr>
        <w:t>CITATION</w:t>
      </w:r>
    </w:p>
    <w:p w14:paraId="3B79AB1E" w14:textId="0A71DDF3" w:rsidR="000A2881" w:rsidRDefault="00C13FAA" w:rsidP="003F65A4">
      <w:pPr>
        <w:pStyle w:val="NormalWeb"/>
        <w:spacing w:before="0" w:beforeAutospacing="0" w:after="0" w:afterAutospacing="0" w:line="276" w:lineRule="auto"/>
        <w:jc w:val="both"/>
        <w:rPr>
          <w:rStyle w:val="Hyperlink"/>
          <w:rFonts w:ascii="Avenir Book" w:hAnsi="Avenir Book"/>
          <w:sz w:val="19"/>
          <w:szCs w:val="19"/>
          <w:lang w:val="en-US"/>
        </w:rPr>
      </w:pPr>
      <w:r w:rsidRPr="00C13FAA">
        <w:rPr>
          <w:rFonts w:ascii="Avenir Book" w:eastAsiaTheme="minorHAnsi" w:hAnsi="Avenir Book" w:cstheme="minorBidi"/>
          <w:sz w:val="19"/>
          <w:szCs w:val="19"/>
        </w:rPr>
        <w:t>Schrantz</w:t>
      </w:r>
      <w:r w:rsidR="000A2881" w:rsidRPr="00501BB9">
        <w:rPr>
          <w:rFonts w:ascii="Avenir Book" w:eastAsiaTheme="minorHAnsi" w:hAnsi="Avenir Book" w:cstheme="minorBidi"/>
          <w:sz w:val="19"/>
          <w:szCs w:val="19"/>
        </w:rPr>
        <w:t xml:space="preserve">, </w:t>
      </w:r>
      <w:r>
        <w:rPr>
          <w:rFonts w:ascii="Avenir Book" w:eastAsiaTheme="minorHAnsi" w:hAnsi="Avenir Book" w:cstheme="minorBidi"/>
          <w:sz w:val="19"/>
          <w:szCs w:val="19"/>
        </w:rPr>
        <w:t>M</w:t>
      </w:r>
      <w:r w:rsidR="000A2881" w:rsidRPr="00501BB9">
        <w:rPr>
          <w:rFonts w:ascii="Avenir Book" w:eastAsiaTheme="minorHAnsi" w:hAnsi="Avenir Book" w:cstheme="minorBidi"/>
          <w:sz w:val="19"/>
          <w:szCs w:val="19"/>
        </w:rPr>
        <w:t xml:space="preserve">., </w:t>
      </w:r>
      <w:r w:rsidRPr="00C13FAA">
        <w:rPr>
          <w:rFonts w:ascii="Avenir Book" w:eastAsiaTheme="minorHAnsi" w:hAnsi="Avenir Book" w:cstheme="minorBidi"/>
          <w:sz w:val="19"/>
          <w:szCs w:val="19"/>
        </w:rPr>
        <w:t>Banta</w:t>
      </w:r>
      <w:r w:rsidR="000A2881" w:rsidRPr="00501BB9">
        <w:rPr>
          <w:rFonts w:ascii="Avenir Book" w:eastAsiaTheme="minorHAnsi" w:hAnsi="Avenir Book" w:cstheme="minorBidi"/>
          <w:sz w:val="19"/>
          <w:szCs w:val="19"/>
        </w:rPr>
        <w:t>, et al., 202</w:t>
      </w:r>
      <w:r w:rsidR="00584DE4">
        <w:rPr>
          <w:rFonts w:ascii="Avenir Book" w:eastAsiaTheme="minorHAnsi" w:hAnsi="Avenir Book" w:cstheme="minorBidi"/>
          <w:sz w:val="19"/>
          <w:szCs w:val="19"/>
        </w:rPr>
        <w:t>5</w:t>
      </w:r>
      <w:r w:rsidR="000A2881" w:rsidRPr="00501BB9">
        <w:rPr>
          <w:rFonts w:ascii="Avenir Book" w:eastAsiaTheme="minorHAnsi" w:hAnsi="Avenir Book" w:cstheme="minorBidi"/>
          <w:sz w:val="19"/>
          <w:szCs w:val="19"/>
        </w:rPr>
        <w:t xml:space="preserve">. </w:t>
      </w:r>
      <w:r w:rsidRPr="00C13FAA">
        <w:rPr>
          <w:rFonts w:ascii="Avenir Book" w:eastAsiaTheme="minorHAnsi" w:hAnsi="Avenir Book" w:cstheme="minorBidi"/>
          <w:sz w:val="19"/>
          <w:szCs w:val="19"/>
        </w:rPr>
        <w:t>Built Environment as a Dangerous Ecosystem</w:t>
      </w:r>
      <w:r w:rsidR="000A2881" w:rsidRPr="00501BB9">
        <w:rPr>
          <w:rFonts w:ascii="Avenir Book" w:eastAsiaTheme="minorHAnsi" w:hAnsi="Avenir Book" w:cstheme="minorBidi"/>
          <w:sz w:val="19"/>
          <w:szCs w:val="19"/>
        </w:rPr>
        <w:t>. Medical Research Archives, [online] 1</w:t>
      </w:r>
      <w:r w:rsidR="00584DE4">
        <w:rPr>
          <w:rFonts w:ascii="Avenir Book" w:eastAsiaTheme="minorHAnsi" w:hAnsi="Avenir Book" w:cstheme="minorBidi"/>
          <w:sz w:val="19"/>
          <w:szCs w:val="19"/>
        </w:rPr>
        <w:t>3</w:t>
      </w:r>
      <w:r w:rsidR="000A2881" w:rsidRPr="00501BB9">
        <w:rPr>
          <w:rFonts w:ascii="Avenir Book" w:eastAsiaTheme="minorHAnsi" w:hAnsi="Avenir Book" w:cstheme="minorBidi"/>
          <w:sz w:val="19"/>
          <w:szCs w:val="19"/>
        </w:rPr>
        <w:t>(</w:t>
      </w:r>
      <w:r w:rsidR="008165F3">
        <w:rPr>
          <w:rFonts w:ascii="Avenir Book" w:eastAsiaTheme="minorHAnsi" w:hAnsi="Avenir Book" w:cstheme="minorBidi"/>
          <w:sz w:val="19"/>
          <w:szCs w:val="19"/>
        </w:rPr>
        <w:t>8</w:t>
      </w:r>
      <w:r w:rsidR="000A2881" w:rsidRPr="00501BB9">
        <w:rPr>
          <w:rFonts w:ascii="Avenir Book" w:eastAsiaTheme="minorHAnsi" w:hAnsi="Avenir Book" w:cstheme="minorBidi"/>
          <w:sz w:val="19"/>
          <w:szCs w:val="19"/>
        </w:rPr>
        <w:t xml:space="preserve">). </w:t>
      </w:r>
      <w:hyperlink r:id="rId14" w:history="1">
        <w:r w:rsidR="00DF37D2">
          <w:rPr>
            <w:rStyle w:val="Hyperlink"/>
            <w:rFonts w:ascii="Avenir Book" w:hAnsi="Avenir Book"/>
            <w:sz w:val="19"/>
            <w:szCs w:val="19"/>
          </w:rPr>
          <w:t>https://doi.org/10.18103/mra.v13i8.6767</w:t>
        </w:r>
      </w:hyperlink>
    </w:p>
    <w:p w14:paraId="0FAA6C92" w14:textId="77777777" w:rsidR="003A2949" w:rsidRPr="003A2949" w:rsidRDefault="003A2949" w:rsidP="003F65A4">
      <w:pPr>
        <w:pStyle w:val="NormalWeb"/>
        <w:spacing w:before="0" w:beforeAutospacing="0" w:after="0" w:afterAutospacing="0" w:line="276" w:lineRule="auto"/>
        <w:jc w:val="both"/>
        <w:rPr>
          <w:rFonts w:ascii="Avenir Book" w:hAnsi="Avenir Book"/>
          <w:sz w:val="19"/>
          <w:szCs w:val="19"/>
          <w:lang w:val="en-US"/>
        </w:rPr>
      </w:pPr>
    </w:p>
    <w:p w14:paraId="789EC410" w14:textId="382C551E" w:rsidR="004A04D7" w:rsidRPr="00832F11" w:rsidRDefault="00E809D1" w:rsidP="003F65A4">
      <w:pPr>
        <w:pStyle w:val="NormalWeb"/>
        <w:spacing w:before="0" w:beforeAutospacing="0" w:after="0" w:afterAutospacing="0" w:line="276" w:lineRule="auto"/>
        <w:jc w:val="both"/>
        <w:rPr>
          <w:rFonts w:ascii="Avenir Book" w:hAnsi="Avenir Book"/>
          <w:sz w:val="19"/>
          <w:szCs w:val="19"/>
        </w:rPr>
      </w:pPr>
      <w:r w:rsidRPr="00832F11">
        <w:rPr>
          <w:rFonts w:ascii="Avenir Book" w:hAnsi="Avenir Book"/>
          <w:b/>
          <w:bCs/>
          <w:sz w:val="19"/>
          <w:szCs w:val="19"/>
          <w:lang w:val="en-US"/>
        </w:rPr>
        <w:t>COPYRIGHT</w:t>
      </w:r>
      <w:r w:rsidRPr="00832F11">
        <w:rPr>
          <w:rFonts w:ascii="Avenir Book" w:hAnsi="Avenir Book"/>
          <w:b/>
          <w:bCs/>
          <w:sz w:val="19"/>
          <w:szCs w:val="19"/>
          <w:lang w:val="en-US"/>
        </w:rPr>
        <w:br/>
      </w:r>
      <w:r w:rsidR="004A04D7" w:rsidRPr="00832F11">
        <w:rPr>
          <w:rFonts w:ascii="Avenir Book" w:eastAsiaTheme="minorHAnsi" w:hAnsi="Avenir Book" w:cstheme="minorBidi"/>
          <w:sz w:val="19"/>
          <w:szCs w:val="19"/>
          <w:lang w:val="en-US" w:eastAsia="en-US"/>
        </w:rPr>
        <w:t>© 202</w:t>
      </w:r>
      <w:r w:rsidR="00C94671">
        <w:rPr>
          <w:rFonts w:ascii="Avenir Book" w:eastAsiaTheme="minorHAnsi" w:hAnsi="Avenir Book" w:cstheme="minorBidi"/>
          <w:sz w:val="19"/>
          <w:szCs w:val="19"/>
          <w:lang w:val="en-US" w:eastAsia="en-US"/>
        </w:rPr>
        <w:t>5</w:t>
      </w:r>
      <w:r w:rsidR="004A04D7" w:rsidRPr="00832F11">
        <w:rPr>
          <w:rFonts w:ascii="Avenir Book" w:eastAsiaTheme="minorHAnsi" w:hAnsi="Avenir Book" w:cstheme="minorBidi"/>
          <w:sz w:val="19"/>
          <w:szCs w:val="19"/>
          <w:lang w:val="en-US" w:eastAsia="en-US"/>
        </w:rPr>
        <w:t xml:space="preserve"> European Society of Medicine. This is an open-access article distributed under the terms of the Creative Commons Attribution License, which permits unrestricted use, distribution, and reproduction in any medium, provided the original author and source are credited.</w:t>
      </w:r>
      <w:r w:rsidR="004A04D7" w:rsidRPr="00832F11">
        <w:rPr>
          <w:rFonts w:ascii="Avenir Book" w:hAnsi="Avenir Book"/>
          <w:sz w:val="19"/>
          <w:szCs w:val="19"/>
        </w:rPr>
        <w:t xml:space="preserve"> </w:t>
      </w:r>
    </w:p>
    <w:p w14:paraId="20B1BA7B" w14:textId="368F3CB0" w:rsidR="00FF5372" w:rsidRPr="000F36B2" w:rsidRDefault="004A04D7" w:rsidP="003F65A4">
      <w:pPr>
        <w:pStyle w:val="NormalWeb"/>
        <w:spacing w:before="0" w:beforeAutospacing="0" w:after="0" w:afterAutospacing="0" w:line="276" w:lineRule="auto"/>
        <w:jc w:val="both"/>
        <w:rPr>
          <w:rStyle w:val="Hyperlink"/>
          <w:rFonts w:ascii="Avenir Book" w:hAnsi="Avenir Book"/>
          <w:sz w:val="19"/>
          <w:szCs w:val="19"/>
        </w:rPr>
      </w:pPr>
      <w:r w:rsidRPr="00832F11">
        <w:rPr>
          <w:rFonts w:ascii="Avenir Book" w:hAnsi="Avenir Book"/>
          <w:b/>
          <w:bCs/>
          <w:sz w:val="19"/>
          <w:szCs w:val="19"/>
        </w:rPr>
        <w:t>DOI</w:t>
      </w:r>
      <w:r w:rsidR="00E809D1" w:rsidRPr="00832F11">
        <w:rPr>
          <w:rFonts w:ascii="Avenir Book" w:hAnsi="Avenir Book"/>
          <w:b/>
          <w:bCs/>
          <w:sz w:val="19"/>
          <w:szCs w:val="19"/>
        </w:rPr>
        <w:br/>
      </w:r>
      <w:hyperlink r:id="rId15" w:history="1">
        <w:r w:rsidR="003F65A4">
          <w:rPr>
            <w:rStyle w:val="Hyperlink"/>
            <w:rFonts w:ascii="Avenir Book" w:hAnsi="Avenir Book"/>
            <w:sz w:val="19"/>
            <w:szCs w:val="19"/>
          </w:rPr>
          <w:t>https://doi.org/10.18103/mra.v13i8.6767</w:t>
        </w:r>
      </w:hyperlink>
    </w:p>
    <w:p w14:paraId="1C9DBECA" w14:textId="6AAD1303" w:rsidR="009004A7" w:rsidRPr="00832F11" w:rsidRDefault="009004A7" w:rsidP="003F65A4">
      <w:pPr>
        <w:spacing w:line="276" w:lineRule="auto"/>
        <w:jc w:val="both"/>
        <w:rPr>
          <w:rFonts w:ascii="Avenir Book" w:hAnsi="Avenir Book"/>
          <w:sz w:val="19"/>
          <w:szCs w:val="19"/>
        </w:rPr>
      </w:pPr>
    </w:p>
    <w:p w14:paraId="7C7AA13C" w14:textId="17BBA5DD" w:rsidR="009004A7" w:rsidRDefault="009004A7" w:rsidP="003F65A4">
      <w:pPr>
        <w:spacing w:line="276" w:lineRule="auto"/>
        <w:jc w:val="both"/>
        <w:rPr>
          <w:rFonts w:ascii="Avenir Book" w:hAnsi="Avenir Book"/>
          <w:sz w:val="19"/>
          <w:szCs w:val="19"/>
          <w:lang w:val="en-US"/>
        </w:rPr>
      </w:pPr>
      <w:r w:rsidRPr="00832F11">
        <w:rPr>
          <w:rFonts w:ascii="Avenir Book" w:hAnsi="Avenir Book"/>
          <w:b/>
          <w:bCs/>
          <w:sz w:val="19"/>
          <w:szCs w:val="19"/>
          <w:lang w:val="en-US"/>
        </w:rPr>
        <w:t>ISSN</w:t>
      </w:r>
      <w:r w:rsidR="00E809D1" w:rsidRPr="00832F11">
        <w:rPr>
          <w:rFonts w:ascii="Avenir Book" w:hAnsi="Avenir Book"/>
          <w:b/>
          <w:bCs/>
          <w:sz w:val="19"/>
          <w:szCs w:val="19"/>
          <w:lang w:val="en-US"/>
        </w:rPr>
        <w:br/>
      </w:r>
      <w:r w:rsidRPr="00832F11">
        <w:rPr>
          <w:rFonts w:ascii="Avenir Book" w:eastAsia="Times New Roman" w:hAnsi="Avenir Book" w:cs="Times New Roman"/>
          <w:sz w:val="19"/>
          <w:szCs w:val="19"/>
          <w:lang w:eastAsia="en-GB"/>
        </w:rPr>
        <w:t>2375-1924</w:t>
      </w:r>
      <w:r w:rsidRPr="00832F11">
        <w:rPr>
          <w:rFonts w:ascii="Avenir Book" w:hAnsi="Avenir Book"/>
          <w:sz w:val="19"/>
          <w:szCs w:val="19"/>
          <w:lang w:val="en-US"/>
        </w:rPr>
        <w:t xml:space="preserve"> </w:t>
      </w:r>
    </w:p>
    <w:p w14:paraId="21D4701E" w14:textId="77777777" w:rsidR="00463421" w:rsidRDefault="00463421" w:rsidP="003F65A4">
      <w:pPr>
        <w:spacing w:line="276" w:lineRule="auto"/>
        <w:jc w:val="both"/>
        <w:rPr>
          <w:rFonts w:ascii="Avenir Book" w:hAnsi="Avenir Book"/>
          <w:sz w:val="19"/>
          <w:szCs w:val="19"/>
          <w:lang w:val="en-US"/>
        </w:rPr>
      </w:pPr>
    </w:p>
    <w:p w14:paraId="1F5707F6" w14:textId="1C796E1D" w:rsidR="00463421" w:rsidRDefault="00463421" w:rsidP="003F65A4">
      <w:pPr>
        <w:spacing w:line="276" w:lineRule="auto"/>
        <w:jc w:val="both"/>
        <w:rPr>
          <w:rFonts w:ascii="Avenir Book" w:hAnsi="Avenir Book"/>
          <w:b/>
          <w:bCs/>
          <w:sz w:val="19"/>
          <w:szCs w:val="19"/>
          <w:lang w:val="en-US"/>
        </w:rPr>
      </w:pPr>
      <w:r w:rsidRPr="00BC63BC">
        <w:rPr>
          <w:rFonts w:ascii="Avenir Book" w:hAnsi="Avenir Book"/>
          <w:b/>
          <w:bCs/>
          <w:sz w:val="19"/>
          <w:szCs w:val="19"/>
          <w:lang w:val="en-US"/>
        </w:rPr>
        <w:t xml:space="preserve">CORRESPONDING </w:t>
      </w:r>
      <w:r w:rsidR="00C7601B" w:rsidRPr="00BC63BC">
        <w:rPr>
          <w:rFonts w:ascii="Avenir Book" w:hAnsi="Avenir Book"/>
          <w:b/>
          <w:bCs/>
          <w:sz w:val="19"/>
          <w:szCs w:val="19"/>
          <w:lang w:val="en-US"/>
        </w:rPr>
        <w:t>AUTHOR</w:t>
      </w:r>
    </w:p>
    <w:p w14:paraId="7E137E17" w14:textId="77777777" w:rsidR="00C7601B" w:rsidRPr="00BC63BC" w:rsidRDefault="00C7601B" w:rsidP="003F65A4">
      <w:pPr>
        <w:spacing w:line="276" w:lineRule="auto"/>
        <w:jc w:val="both"/>
        <w:rPr>
          <w:rFonts w:ascii="Avenir Book" w:hAnsi="Avenir Book"/>
          <w:b/>
          <w:bCs/>
          <w:sz w:val="19"/>
          <w:szCs w:val="19"/>
          <w:lang w:val="en-US"/>
        </w:rPr>
      </w:pPr>
    </w:p>
    <w:p w14:paraId="2C2D0D3E" w14:textId="5FB0A110" w:rsidR="00C7601B" w:rsidRPr="00BC63BC" w:rsidRDefault="00C7601B" w:rsidP="003F65A4">
      <w:pPr>
        <w:spacing w:line="276" w:lineRule="auto"/>
        <w:jc w:val="both"/>
        <w:rPr>
          <w:rFonts w:ascii="Avenir Book" w:hAnsi="Avenir Book"/>
          <w:b/>
          <w:bCs/>
          <w:sz w:val="19"/>
          <w:szCs w:val="19"/>
          <w:lang w:val="en-US"/>
        </w:rPr>
      </w:pPr>
      <w:r w:rsidRPr="00C7601B">
        <w:rPr>
          <w:rFonts w:ascii="Avenir Book" w:hAnsi="Avenir Book"/>
          <w:b/>
          <w:bCs/>
          <w:sz w:val="19"/>
          <w:szCs w:val="19"/>
          <w:lang w:val="en-US"/>
        </w:rPr>
        <w:t>Michael</w:t>
      </w:r>
      <w:r w:rsidR="007133C2">
        <w:rPr>
          <w:rFonts w:ascii="Avenir Book" w:hAnsi="Avenir Book"/>
          <w:b/>
          <w:bCs/>
          <w:sz w:val="19"/>
          <w:szCs w:val="19"/>
          <w:lang w:val="en-US"/>
        </w:rPr>
        <w:t xml:space="preserve"> </w:t>
      </w:r>
      <w:r w:rsidR="00BC63BC" w:rsidRPr="00C7601B">
        <w:rPr>
          <w:rFonts w:ascii="Avenir Book" w:hAnsi="Avenir Book"/>
          <w:b/>
          <w:bCs/>
          <w:sz w:val="19"/>
          <w:szCs w:val="19"/>
          <w:lang w:val="en-US"/>
        </w:rPr>
        <w:t xml:space="preserve">Schrantz </w:t>
      </w:r>
      <w:r w:rsidR="00BC63BC">
        <w:rPr>
          <w:rFonts w:ascii="Avenir Book" w:hAnsi="Avenir Book"/>
          <w:b/>
          <w:bCs/>
          <w:sz w:val="19"/>
          <w:szCs w:val="19"/>
          <w:lang w:val="en-US"/>
        </w:rPr>
        <w:t>mikeschrantz@gmail.com</w:t>
      </w:r>
    </w:p>
    <w:p w14:paraId="4A8909E2" w14:textId="77777777" w:rsidR="0093245C" w:rsidRDefault="0093245C" w:rsidP="00720C4E">
      <w:pPr>
        <w:spacing w:line="276" w:lineRule="auto"/>
        <w:rPr>
          <w:rFonts w:ascii="Avenir Book" w:hAnsi="Avenir Book"/>
          <w:sz w:val="21"/>
          <w:szCs w:val="21"/>
          <w:lang w:val="en-US"/>
        </w:rPr>
      </w:pPr>
    </w:p>
    <w:p w14:paraId="28E130C1" w14:textId="77777777" w:rsidR="0093245C" w:rsidRDefault="0093245C" w:rsidP="00720C4E">
      <w:pPr>
        <w:spacing w:line="276" w:lineRule="auto"/>
        <w:rPr>
          <w:rFonts w:ascii="Avenir Book" w:hAnsi="Avenir Book"/>
          <w:sz w:val="21"/>
          <w:szCs w:val="21"/>
          <w:lang w:val="en-US"/>
        </w:rPr>
      </w:pPr>
    </w:p>
    <w:p w14:paraId="5E6A26EE" w14:textId="77777777" w:rsidR="0093245C" w:rsidRPr="00D52D7D" w:rsidRDefault="0093245C" w:rsidP="00720C4E">
      <w:pPr>
        <w:spacing w:line="276" w:lineRule="auto"/>
        <w:rPr>
          <w:rFonts w:ascii="Avenir Book" w:hAnsi="Avenir Book"/>
          <w:sz w:val="21"/>
          <w:szCs w:val="21"/>
          <w:lang w:val="en-US"/>
        </w:rPr>
      </w:pPr>
    </w:p>
    <w:p w14:paraId="1E16D135" w14:textId="50124CEF" w:rsidR="00C70BDF" w:rsidRDefault="00C70BDF" w:rsidP="00720C4E">
      <w:pPr>
        <w:spacing w:line="276" w:lineRule="auto"/>
        <w:rPr>
          <w:rFonts w:ascii="Avenir Book" w:hAnsi="Avenir Book"/>
          <w:sz w:val="22"/>
          <w:szCs w:val="22"/>
          <w:lang w:val="en-US"/>
        </w:rPr>
      </w:pPr>
    </w:p>
    <w:p w14:paraId="6E49FBA6" w14:textId="6AEDD5A2" w:rsidR="00D23309" w:rsidRDefault="00B66021" w:rsidP="00720C4E">
      <w:pPr>
        <w:spacing w:line="276" w:lineRule="auto"/>
        <w:rPr>
          <w:rFonts w:ascii="Avenir Book" w:hAnsi="Avenir Book"/>
          <w:b/>
          <w:bCs/>
          <w:color w:val="11639F"/>
          <w:sz w:val="30"/>
          <w:szCs w:val="30"/>
          <w:lang w:val="en-US"/>
        </w:rPr>
      </w:pPr>
      <w:r>
        <w:rPr>
          <w:rFonts w:ascii="Avenir Book" w:hAnsi="Avenir Book"/>
          <w:color w:val="DF8420"/>
          <w:sz w:val="22"/>
          <w:szCs w:val="22"/>
          <w:lang w:val="en-US"/>
        </w:rPr>
        <w:br w:type="column"/>
      </w:r>
      <w:r w:rsidR="00697A63" w:rsidRPr="001C4F8B">
        <w:rPr>
          <w:rFonts w:ascii="Avenir Book" w:hAnsi="Avenir Book"/>
          <w:b/>
          <w:bCs/>
          <w:color w:val="11639F"/>
          <w:sz w:val="30"/>
          <w:szCs w:val="30"/>
          <w:lang w:val="en-US"/>
        </w:rPr>
        <w:t>ABSTRACT</w:t>
      </w:r>
      <w:bookmarkEnd w:id="0"/>
    </w:p>
    <w:p w14:paraId="6E816E03" w14:textId="191035E3" w:rsidR="00DF6A51" w:rsidRPr="00623AA7" w:rsidRDefault="00DF6A51" w:rsidP="00DF6A51">
      <w:pPr>
        <w:pStyle w:val="NormalWeb"/>
        <w:spacing w:before="0" w:beforeAutospacing="0" w:after="0" w:afterAutospacing="0"/>
        <w:jc w:val="both"/>
        <w:rPr>
          <w:rFonts w:ascii="Avenir Book" w:hAnsi="Avenir Book"/>
          <w:sz w:val="22"/>
          <w:szCs w:val="22"/>
        </w:rPr>
      </w:pPr>
      <w:r w:rsidRPr="00623AA7">
        <w:rPr>
          <w:rFonts w:ascii="Avenir Book" w:hAnsi="Avenir Book"/>
          <w:sz w:val="22"/>
          <w:szCs w:val="22"/>
        </w:rPr>
        <w:t>For millennia, damp and musty buildings have been linked to human illness, as noted in ancient texts, including Leviticus 14. Today, the modern equivalent of priestly oversight falls to Indoor Environmental Professionals (IEPs), who serve as a bridge between clinical understanding and the physical assessment and remediation of structures. This paper—Part B of a three-part series—advances the evolving recognition of the built environment as a medically relevant ecosystem, particularly for individuals with complex chronic illnesses such as Chronic Inflammatory Response Syndrome (CIRS), mast cell activation disorders, and chemical sensitivities.</w:t>
      </w:r>
    </w:p>
    <w:p w14:paraId="766657AE" w14:textId="3312F7E8" w:rsidR="00DF6A51" w:rsidRPr="00623AA7" w:rsidRDefault="00DF6A51" w:rsidP="00DF6A51">
      <w:pPr>
        <w:pStyle w:val="NormalWeb"/>
        <w:spacing w:before="0" w:beforeAutospacing="0" w:after="0" w:afterAutospacing="0"/>
        <w:jc w:val="both"/>
        <w:rPr>
          <w:rFonts w:ascii="Avenir Book" w:hAnsi="Avenir Book"/>
          <w:sz w:val="22"/>
          <w:szCs w:val="22"/>
        </w:rPr>
      </w:pPr>
      <w:r w:rsidRPr="00623AA7">
        <w:rPr>
          <w:rFonts w:ascii="Avenir Book" w:hAnsi="Avenir Book"/>
          <w:sz w:val="22"/>
          <w:szCs w:val="22"/>
        </w:rPr>
        <w:t xml:space="preserve">Building on Part A, which outlined the human health impacts of exposure to microbial and chemical agents in water-damaged buildings (WDBs), this paper reframes conventional assessment and remediation practices by introducing a medically important approach for assessing and remedying WDBs, along with measures to prevent future exposure. It emphasizes the inadequacy of superficial or cosmetic repairs when faced with persistent health symptoms, highlighting the need for a more in-depth approach that prioritizes occupant-specific sensitivities, proper removal of microbial sources, and durable restoration practices. Drawing on decades of interdisciplinary field experience, we argue that effective remediation must also extend beyond </w:t>
      </w:r>
      <w:r w:rsidR="00BC63BC" w:rsidRPr="00623AA7">
        <w:rPr>
          <w:rFonts w:ascii="Avenir Book" w:hAnsi="Avenir Book"/>
          <w:sz w:val="22"/>
          <w:szCs w:val="22"/>
        </w:rPr>
        <w:t>Mold</w:t>
      </w:r>
      <w:r w:rsidRPr="00623AA7">
        <w:rPr>
          <w:rFonts w:ascii="Avenir Book" w:hAnsi="Avenir Book"/>
          <w:sz w:val="22"/>
          <w:szCs w:val="22"/>
        </w:rPr>
        <w:t>-centric models and consider the broader microbial and material ecology of the indoor space.</w:t>
      </w:r>
    </w:p>
    <w:p w14:paraId="4F3EB24F" w14:textId="77777777" w:rsidR="00DF6A51" w:rsidRPr="00623AA7" w:rsidRDefault="00DF6A51" w:rsidP="00DF6A51">
      <w:pPr>
        <w:pStyle w:val="NormalWeb"/>
        <w:spacing w:before="0" w:beforeAutospacing="0" w:after="0" w:afterAutospacing="0"/>
        <w:jc w:val="both"/>
        <w:rPr>
          <w:rFonts w:ascii="Avenir Book" w:hAnsi="Avenir Book"/>
          <w:sz w:val="22"/>
          <w:szCs w:val="22"/>
        </w:rPr>
      </w:pPr>
      <w:r w:rsidRPr="00623AA7">
        <w:rPr>
          <w:rFonts w:ascii="Avenir Book" w:hAnsi="Avenir Book"/>
          <w:sz w:val="22"/>
          <w:szCs w:val="22"/>
        </w:rPr>
        <w:t>Key recommendations include redefining thresholds for cleanliness, integrating environmental and health data in building assessments, and selecting non-sensitizing materials to support occupant recovery. The paper positions the building not merely as shelter, but as a dynamic system whose microbial composition can either impede or facilitate healing. By bridging insights from building science, environmental health, and clinical medicine, this work lays the groundwork for transdisciplinary collaboration.</w:t>
      </w:r>
    </w:p>
    <w:p w14:paraId="3027B7B5" w14:textId="3912BFA7" w:rsidR="00B937E6" w:rsidRPr="009732EF" w:rsidRDefault="00DF6A51" w:rsidP="00DF6A51">
      <w:pPr>
        <w:pStyle w:val="NormalWeb"/>
        <w:spacing w:before="0" w:beforeAutospacing="0" w:after="0" w:afterAutospacing="0"/>
        <w:jc w:val="both"/>
        <w:rPr>
          <w:rFonts w:ascii="Avenir Book" w:hAnsi="Avenir Book"/>
          <w:sz w:val="22"/>
          <w:szCs w:val="22"/>
        </w:rPr>
      </w:pPr>
      <w:r w:rsidRPr="00623AA7">
        <w:rPr>
          <w:rFonts w:ascii="Avenir Book" w:hAnsi="Avenir Book"/>
          <w:sz w:val="22"/>
          <w:szCs w:val="22"/>
        </w:rPr>
        <w:t>Part C translates these environmental and diagnostic principles into an evidence-based, sequential treatment protocol—the CIRS Protocol—designed to restore health through both environmental correction and biomarker-driven clinical care. Together, this trifecta creates a comprehensive framework for addressing illness rooted in the built environment. In that paper, readers will find a detailed rationale and structure for medically important remediation (MIR), supported by field experience and multidisciplinary research. We conclude that sustainable recovery from environmentally acquired illness requires an integrated, occupant-centered approach that treats the building not only as a source of exposure, but as an active component in the healing process.</w:t>
      </w:r>
    </w:p>
    <w:p w14:paraId="7B2B1513" w14:textId="77777777" w:rsidR="003F65A4" w:rsidRDefault="003F65A4" w:rsidP="00720C4E">
      <w:pPr>
        <w:pStyle w:val="NormalWeb"/>
        <w:spacing w:before="0" w:beforeAutospacing="0" w:after="0" w:afterAutospacing="0" w:line="276" w:lineRule="auto"/>
        <w:rPr>
          <w:rFonts w:ascii="Avenir Book" w:hAnsi="Avenir Book"/>
          <w:sz w:val="2"/>
          <w:szCs w:val="2"/>
        </w:rPr>
        <w:sectPr w:rsidR="003F65A4" w:rsidSect="003F65A4">
          <w:type w:val="continuous"/>
          <w:pgSz w:w="11906" w:h="16838"/>
          <w:pgMar w:top="720" w:right="720" w:bottom="720" w:left="720" w:header="709" w:footer="283" w:gutter="0"/>
          <w:cols w:num="2" w:space="432" w:equalWidth="0">
            <w:col w:w="3456" w:space="432"/>
            <w:col w:w="6578"/>
          </w:cols>
          <w:titlePg/>
          <w:docGrid w:linePitch="360"/>
        </w:sectPr>
      </w:pPr>
    </w:p>
    <w:p w14:paraId="4FD1599E" w14:textId="2D67D2A6" w:rsidR="00B6577B" w:rsidRPr="00933BD9" w:rsidRDefault="00B6577B" w:rsidP="00720C4E">
      <w:pPr>
        <w:pStyle w:val="NormalWeb"/>
        <w:spacing w:before="0" w:beforeAutospacing="0" w:after="0" w:afterAutospacing="0" w:line="276" w:lineRule="auto"/>
        <w:rPr>
          <w:rFonts w:ascii="Avenir Book" w:hAnsi="Avenir Book"/>
          <w:sz w:val="2"/>
          <w:szCs w:val="2"/>
        </w:rPr>
      </w:pPr>
    </w:p>
    <w:p w14:paraId="6E6820C2" w14:textId="77777777" w:rsidR="00D51D35" w:rsidRPr="00933BD9" w:rsidRDefault="00D51D35" w:rsidP="00720C4E">
      <w:pPr>
        <w:spacing w:line="276" w:lineRule="auto"/>
        <w:rPr>
          <w:rFonts w:ascii="Avenir Book" w:hAnsi="Avenir Book"/>
          <w:sz w:val="21"/>
          <w:szCs w:val="21"/>
          <w:lang w:val="en-US"/>
        </w:rPr>
        <w:sectPr w:rsidR="00D51D35" w:rsidRPr="00933BD9" w:rsidSect="00A014B7">
          <w:type w:val="continuous"/>
          <w:pgSz w:w="11906" w:h="16838"/>
          <w:pgMar w:top="720" w:right="720" w:bottom="720" w:left="720" w:header="709" w:footer="283" w:gutter="0"/>
          <w:cols w:num="2" w:space="567" w:equalWidth="0">
            <w:col w:w="2835" w:space="567"/>
            <w:col w:w="7064"/>
          </w:cols>
          <w:titlePg/>
          <w:docGrid w:linePitch="360"/>
        </w:sectPr>
      </w:pPr>
    </w:p>
    <w:p w14:paraId="5CF682FE" w14:textId="77777777" w:rsidR="00780623" w:rsidRDefault="00780623" w:rsidP="00720C4E">
      <w:pPr>
        <w:spacing w:line="276" w:lineRule="auto"/>
        <w:rPr>
          <w:rFonts w:ascii="Avenir Book" w:hAnsi="Avenir Book"/>
          <w:b/>
          <w:bCs/>
          <w:color w:val="11639F"/>
          <w:sz w:val="30"/>
          <w:szCs w:val="30"/>
          <w:lang w:val="en-US"/>
        </w:rPr>
        <w:sectPr w:rsidR="00780623" w:rsidSect="00994E33">
          <w:type w:val="continuous"/>
          <w:pgSz w:w="11906" w:h="16838"/>
          <w:pgMar w:top="720" w:right="720" w:bottom="1287" w:left="720" w:header="283" w:footer="283" w:gutter="0"/>
          <w:cols w:space="567"/>
          <w:docGrid w:linePitch="360"/>
        </w:sectPr>
      </w:pPr>
    </w:p>
    <w:bookmarkEnd w:id="1"/>
    <w:bookmarkEnd w:id="2"/>
    <w:p w14:paraId="66053A4D" w14:textId="77777777" w:rsidR="00E55AA9" w:rsidRPr="00EA5824" w:rsidRDefault="00E55AA9" w:rsidP="00720C4E">
      <w:pPr>
        <w:spacing w:line="276" w:lineRule="auto"/>
        <w:rPr>
          <w:rFonts w:ascii="Avenir Book" w:hAnsi="Avenir Book"/>
          <w:sz w:val="22"/>
          <w:szCs w:val="22"/>
        </w:rPr>
      </w:pPr>
    </w:p>
    <w:p w14:paraId="512755E2" w14:textId="77777777" w:rsidR="00E55AA9" w:rsidRPr="00EA5824" w:rsidRDefault="00E55AA9" w:rsidP="00720C4E">
      <w:pPr>
        <w:spacing w:line="276" w:lineRule="auto"/>
        <w:rPr>
          <w:rFonts w:ascii="Avenir Book" w:hAnsi="Avenir Book"/>
          <w:sz w:val="22"/>
          <w:szCs w:val="22"/>
        </w:rPr>
      </w:pPr>
    </w:p>
    <w:p w14:paraId="19B387AB" w14:textId="77777777" w:rsidR="00E55AA9" w:rsidRPr="00EA5824" w:rsidRDefault="00E55AA9" w:rsidP="00720C4E">
      <w:pPr>
        <w:spacing w:line="276" w:lineRule="auto"/>
        <w:rPr>
          <w:rFonts w:ascii="Avenir Book" w:hAnsi="Avenir Book"/>
          <w:sz w:val="22"/>
          <w:szCs w:val="22"/>
        </w:rPr>
      </w:pPr>
    </w:p>
    <w:p w14:paraId="1E7FB187" w14:textId="77777777" w:rsidR="00E55AA9" w:rsidRDefault="00E55AA9" w:rsidP="00720C4E">
      <w:pPr>
        <w:spacing w:line="276" w:lineRule="auto"/>
        <w:rPr>
          <w:rFonts w:ascii="Avenir Book" w:hAnsi="Avenir Book"/>
          <w:sz w:val="22"/>
          <w:szCs w:val="22"/>
        </w:rPr>
      </w:pPr>
    </w:p>
    <w:p w14:paraId="4C0650FE" w14:textId="77777777" w:rsidR="00673A41" w:rsidRDefault="00673A41" w:rsidP="00720C4E">
      <w:pPr>
        <w:spacing w:line="276" w:lineRule="auto"/>
        <w:rPr>
          <w:rFonts w:ascii="Avenir Book" w:hAnsi="Avenir Book"/>
          <w:sz w:val="22"/>
          <w:szCs w:val="22"/>
        </w:rPr>
      </w:pPr>
    </w:p>
    <w:p w14:paraId="17760382" w14:textId="77777777" w:rsidR="00673A41" w:rsidRDefault="00673A41" w:rsidP="00720C4E">
      <w:pPr>
        <w:spacing w:line="276" w:lineRule="auto"/>
        <w:rPr>
          <w:rFonts w:ascii="Avenir Book" w:hAnsi="Avenir Book"/>
          <w:sz w:val="22"/>
          <w:szCs w:val="22"/>
        </w:rPr>
      </w:pPr>
    </w:p>
    <w:p w14:paraId="08409CE6" w14:textId="77777777" w:rsidR="00673A41" w:rsidRDefault="00673A41" w:rsidP="00720C4E">
      <w:pPr>
        <w:spacing w:line="276" w:lineRule="auto"/>
        <w:rPr>
          <w:rFonts w:ascii="Avenir Book" w:hAnsi="Avenir Book"/>
          <w:sz w:val="22"/>
          <w:szCs w:val="22"/>
        </w:rPr>
      </w:pPr>
    </w:p>
    <w:p w14:paraId="0E0BB8FC" w14:textId="77777777" w:rsidR="00673A41" w:rsidRDefault="00673A41" w:rsidP="00720C4E">
      <w:pPr>
        <w:spacing w:line="276" w:lineRule="auto"/>
        <w:rPr>
          <w:rFonts w:ascii="Avenir Book" w:hAnsi="Avenir Book"/>
          <w:sz w:val="22"/>
          <w:szCs w:val="22"/>
        </w:rPr>
      </w:pPr>
    </w:p>
    <w:p w14:paraId="7306A918" w14:textId="77777777" w:rsidR="00673A41" w:rsidRDefault="00673A41" w:rsidP="00720C4E">
      <w:pPr>
        <w:spacing w:line="276" w:lineRule="auto"/>
        <w:rPr>
          <w:rFonts w:ascii="Avenir Book" w:hAnsi="Avenir Book"/>
          <w:sz w:val="22"/>
          <w:szCs w:val="22"/>
        </w:rPr>
      </w:pPr>
    </w:p>
    <w:p w14:paraId="38821B96" w14:textId="77777777" w:rsidR="00673A41" w:rsidRDefault="00673A41" w:rsidP="00720C4E">
      <w:pPr>
        <w:spacing w:line="276" w:lineRule="auto"/>
        <w:rPr>
          <w:rFonts w:ascii="Avenir Book" w:hAnsi="Avenir Book"/>
          <w:sz w:val="22"/>
          <w:szCs w:val="22"/>
        </w:rPr>
      </w:pPr>
    </w:p>
    <w:p w14:paraId="450A763C" w14:textId="77777777" w:rsidR="00673A41" w:rsidRDefault="00673A41" w:rsidP="00720C4E">
      <w:pPr>
        <w:spacing w:line="276" w:lineRule="auto"/>
        <w:rPr>
          <w:rFonts w:ascii="Avenir Book" w:hAnsi="Avenir Book"/>
          <w:sz w:val="22"/>
          <w:szCs w:val="22"/>
        </w:rPr>
      </w:pPr>
    </w:p>
    <w:p w14:paraId="6DCC4167" w14:textId="77777777" w:rsidR="00D23693" w:rsidRDefault="00D23693" w:rsidP="00720C4E">
      <w:pPr>
        <w:spacing w:line="276" w:lineRule="auto"/>
        <w:rPr>
          <w:rFonts w:ascii="Avenir Book" w:hAnsi="Avenir Book" w:cs="Times New Roman"/>
          <w:b/>
          <w:color w:val="11639F"/>
          <w:sz w:val="28"/>
          <w:szCs w:val="32"/>
        </w:rPr>
        <w:sectPr w:rsidR="00D23693" w:rsidSect="00E55AA9">
          <w:type w:val="continuous"/>
          <w:pgSz w:w="11906" w:h="16838"/>
          <w:pgMar w:top="288" w:right="720" w:bottom="288" w:left="720" w:header="283" w:footer="283" w:gutter="0"/>
          <w:cols w:space="576"/>
          <w:docGrid w:linePitch="360"/>
        </w:sectPr>
      </w:pPr>
    </w:p>
    <w:p w14:paraId="0EF96B86" w14:textId="0DE66AF9" w:rsidR="00EC628A" w:rsidRPr="00EC628A" w:rsidRDefault="00EC628A" w:rsidP="00D23693">
      <w:pPr>
        <w:spacing w:line="276" w:lineRule="auto"/>
        <w:jc w:val="both"/>
        <w:rPr>
          <w:rFonts w:ascii="Avenir Book" w:hAnsi="Avenir Book" w:cs="Times New Roman"/>
          <w:b/>
          <w:color w:val="11639F"/>
          <w:sz w:val="28"/>
          <w:szCs w:val="32"/>
        </w:rPr>
      </w:pPr>
      <w:r w:rsidRPr="00EC628A">
        <w:rPr>
          <w:rFonts w:ascii="Avenir Book" w:hAnsi="Avenir Book" w:cs="Times New Roman"/>
          <w:b/>
          <w:color w:val="11639F"/>
          <w:sz w:val="28"/>
          <w:szCs w:val="32"/>
        </w:rPr>
        <w:lastRenderedPageBreak/>
        <w:t>A New Paradigm: Evolving Understanding of Microbial Contamination in Buildings</w:t>
      </w:r>
    </w:p>
    <w:bookmarkEnd w:id="3"/>
    <w:p w14:paraId="7A2DEDB4" w14:textId="77777777" w:rsidR="00A36B72" w:rsidRPr="00623AA7" w:rsidRDefault="00A36B72" w:rsidP="00D23693">
      <w:pPr>
        <w:jc w:val="both"/>
        <w:rPr>
          <w:rFonts w:ascii="Avenir Book" w:hAnsi="Avenir Book" w:cs="Times New Roman"/>
          <w:i/>
          <w:sz w:val="22"/>
          <w:szCs w:val="22"/>
        </w:rPr>
      </w:pPr>
      <w:r w:rsidRPr="00623AA7">
        <w:rPr>
          <w:rFonts w:ascii="Avenir Book" w:hAnsi="Avenir Book" w:cs="Times New Roman"/>
          <w:i/>
          <w:sz w:val="22"/>
          <w:szCs w:val="22"/>
        </w:rPr>
        <w:t>The History of Water Damage in the Indoor Environment.</w:t>
      </w:r>
    </w:p>
    <w:p w14:paraId="0D544940" w14:textId="77777777" w:rsidR="00A36B72" w:rsidRDefault="00A36B72" w:rsidP="00D23693">
      <w:pPr>
        <w:jc w:val="both"/>
        <w:rPr>
          <w:rFonts w:ascii="Avenir Book" w:hAnsi="Avenir Book" w:cs="Times New Roman"/>
          <w:sz w:val="22"/>
          <w:szCs w:val="22"/>
        </w:rPr>
      </w:pPr>
      <w:r w:rsidRPr="00623AA7">
        <w:rPr>
          <w:rFonts w:ascii="Avenir Book" w:hAnsi="Avenir Book" w:cs="Times New Roman"/>
          <w:sz w:val="22"/>
          <w:szCs w:val="22"/>
        </w:rPr>
        <w:t>While the ancient priests of Leviticus</w:t>
      </w:r>
      <w:r w:rsidRPr="00623AA7">
        <w:rPr>
          <w:rFonts w:ascii="Avenir Book" w:hAnsi="Avenir Book" w:cs="Times New Roman"/>
          <w:sz w:val="22"/>
          <w:szCs w:val="22"/>
          <w:vertAlign w:val="superscript"/>
        </w:rPr>
        <w:t>1</w:t>
      </w:r>
      <w:r w:rsidRPr="00623AA7">
        <w:rPr>
          <w:rFonts w:ascii="Avenir Book" w:hAnsi="Avenir Book" w:cs="Times New Roman"/>
          <w:sz w:val="22"/>
          <w:szCs w:val="22"/>
        </w:rPr>
        <w:t xml:space="preserve"> once served as both doctors and inspectors, charged with identifying and responding to mold contamination in homes, today's physicians rarely make house calls. Far from being a new problem, the challenge of unhealthy buildings has shifted frameworks: from ritual impurity to scientific causation, from spiritual discernment to analytical diagnostics. By revisiting these ancient accounts with modern understanding, we see not superstition, but early attempts to protect human health from the invisible threats posed by a compromised indoor environment. </w:t>
      </w:r>
    </w:p>
    <w:p w14:paraId="0A6B1F89" w14:textId="77777777" w:rsidR="00EC628A" w:rsidRPr="00623AA7" w:rsidRDefault="00EC628A" w:rsidP="00D23693">
      <w:pPr>
        <w:jc w:val="both"/>
        <w:rPr>
          <w:rFonts w:ascii="Avenir Book" w:hAnsi="Avenir Book" w:cs="Times New Roman"/>
          <w:strike/>
          <w:sz w:val="22"/>
          <w:szCs w:val="22"/>
        </w:rPr>
      </w:pPr>
    </w:p>
    <w:p w14:paraId="758ACE73" w14:textId="683ED8F5" w:rsidR="00A36B72" w:rsidRDefault="00A36B72" w:rsidP="00D23693">
      <w:pPr>
        <w:jc w:val="both"/>
        <w:rPr>
          <w:rFonts w:ascii="Avenir Book" w:hAnsi="Avenir Book" w:cs="Times New Roman"/>
          <w:color w:val="222222"/>
          <w:sz w:val="22"/>
          <w:szCs w:val="22"/>
        </w:rPr>
      </w:pPr>
      <w:r w:rsidRPr="00623AA7">
        <w:rPr>
          <w:rFonts w:ascii="Avenir Book" w:hAnsi="Avenir Book" w:cs="Times New Roman"/>
          <w:sz w:val="22"/>
          <w:szCs w:val="22"/>
        </w:rPr>
        <w:t xml:space="preserve">Fast forward several millennia, and our responses have grown more clinical and less reverent. Modern-day mold concerns are often reduced to cost, liability, and cosmetic remediation rather than health outcomes. Reports from building occupants are frequently minimized, especially when contamination </w:t>
      </w:r>
      <w:r w:rsidR="00644422" w:rsidRPr="00623AA7">
        <w:rPr>
          <w:rFonts w:ascii="Avenir Book" w:hAnsi="Avenir Book" w:cs="Times New Roman"/>
          <w:sz w:val="22"/>
          <w:szCs w:val="22"/>
        </w:rPr>
        <w:t>is not</w:t>
      </w:r>
      <w:r w:rsidRPr="00623AA7">
        <w:rPr>
          <w:rFonts w:ascii="Avenir Book" w:hAnsi="Avenir Book" w:cs="Times New Roman"/>
          <w:sz w:val="22"/>
          <w:szCs w:val="22"/>
        </w:rPr>
        <w:t xml:space="preserve"> visible. Too often, people who react to moldy buildings are treated as the problem, rather than the buildings themselves. The need for skilled evaluation of environmental health risks remains. Into that gap have stepped a small group of indoor environmental professionals (IEPs), applying a blend of building science, microbiology, and occupant-centered assessment to identify and address the physical manifestations of mold and water damage by practising medically necessary a</w:t>
      </w:r>
      <w:r w:rsidRPr="00623AA7">
        <w:rPr>
          <w:rFonts w:ascii="Avenir Book" w:hAnsi="Avenir Book" w:cs="Times New Roman"/>
          <w:color w:val="222222"/>
          <w:sz w:val="22"/>
          <w:szCs w:val="22"/>
        </w:rPr>
        <w:t xml:space="preserve">ssessments and Medically Important Remediation. </w:t>
      </w:r>
    </w:p>
    <w:p w14:paraId="491CF1BE" w14:textId="77777777" w:rsidR="00EC628A" w:rsidRPr="00623AA7" w:rsidRDefault="00EC628A" w:rsidP="00D23693">
      <w:pPr>
        <w:jc w:val="both"/>
        <w:rPr>
          <w:rFonts w:ascii="Avenir Book" w:hAnsi="Avenir Book" w:cs="Times New Roman"/>
          <w:sz w:val="22"/>
          <w:szCs w:val="22"/>
        </w:rPr>
      </w:pPr>
    </w:p>
    <w:p w14:paraId="691F0670" w14:textId="2DCCAC70" w:rsidR="00A36B72" w:rsidRPr="00EC628A" w:rsidRDefault="00EC628A" w:rsidP="00D23693">
      <w:pPr>
        <w:jc w:val="both"/>
        <w:rPr>
          <w:rFonts w:ascii="Avenir Book" w:hAnsi="Avenir Book" w:cs="Times New Roman"/>
          <w:bCs/>
          <w:sz w:val="22"/>
          <w:szCs w:val="22"/>
        </w:rPr>
      </w:pPr>
      <w:r w:rsidRPr="00EC628A">
        <w:rPr>
          <w:rFonts w:ascii="Avenir Book" w:hAnsi="Avenir Book" w:cs="Times New Roman"/>
          <w:bCs/>
          <w:sz w:val="22"/>
          <w:szCs w:val="22"/>
        </w:rPr>
        <w:t>THE INDUSTRY: 1970S-2000</w:t>
      </w:r>
    </w:p>
    <w:p w14:paraId="6646EFD8" w14:textId="5BB247C7" w:rsidR="00A36B72" w:rsidRPr="00623AA7" w:rsidRDefault="00A36B72" w:rsidP="00D23693">
      <w:pPr>
        <w:jc w:val="both"/>
        <w:rPr>
          <w:rFonts w:ascii="Avenir Book" w:hAnsi="Avenir Book" w:cs="Times New Roman"/>
          <w:sz w:val="22"/>
          <w:szCs w:val="22"/>
        </w:rPr>
      </w:pPr>
      <w:r w:rsidRPr="00623AA7">
        <w:rPr>
          <w:rFonts w:ascii="Avenir Book" w:hAnsi="Avenir Book" w:cs="Times New Roman"/>
          <w:sz w:val="22"/>
          <w:szCs w:val="22"/>
        </w:rPr>
        <w:t xml:space="preserve">Beginning in the 1970s, the global energy crisis prompted a shift in construction methods. In the name of energy efficiency, builders began tightening building envelopes, reducing natural ventilation, and adopting new materials that were prone to </w:t>
      </w:r>
      <w:r w:rsidR="00644422" w:rsidRPr="00623AA7">
        <w:rPr>
          <w:rFonts w:ascii="Avenir Book" w:hAnsi="Avenir Book" w:cs="Times New Roman"/>
          <w:sz w:val="22"/>
          <w:szCs w:val="22"/>
        </w:rPr>
        <w:t>deficient performance</w:t>
      </w:r>
      <w:r w:rsidRPr="00623AA7">
        <w:rPr>
          <w:rFonts w:ascii="Avenir Book" w:hAnsi="Avenir Book" w:cs="Times New Roman"/>
          <w:sz w:val="22"/>
          <w:szCs w:val="22"/>
        </w:rPr>
        <w:t xml:space="preserve"> in the presence of incidental moisture. These changes made buildings more vulnerable to mold contamination by trapping humidity, limiting drying potential, and introducing cellulose-rich materials that supported microbial growth. Early building materials—such as lime plaster, old-growth wood, and cement board—tended to resist mold colonization. But more modern assemblies, made with paper-faced gypsum, OSB, and cellulose insulation, retained moisture and offered ample nutrients, accelerating degradation when moisture was introduced. As a result, a new phenomenon began to be witnessed; some human occupants experienced various adverse health symptoms, with nonspecific causes. The recognition of buildings as potential contributors to illness was often </w:t>
      </w:r>
      <w:r w:rsidR="00BC63BC" w:rsidRPr="00623AA7">
        <w:rPr>
          <w:rFonts w:ascii="Avenir Book" w:hAnsi="Avenir Book" w:cs="Times New Roman"/>
          <w:sz w:val="22"/>
          <w:szCs w:val="22"/>
        </w:rPr>
        <w:t>labelled</w:t>
      </w:r>
      <w:r w:rsidRPr="00623AA7">
        <w:rPr>
          <w:rFonts w:ascii="Avenir Book" w:hAnsi="Avenir Book" w:cs="Times New Roman"/>
          <w:sz w:val="22"/>
          <w:szCs w:val="22"/>
        </w:rPr>
        <w:t xml:space="preserve"> broadly as </w:t>
      </w:r>
      <w:sdt>
        <w:sdtPr>
          <w:rPr>
            <w:rFonts w:ascii="Avenir Book" w:hAnsi="Avenir Book" w:cs="Times New Roman"/>
            <w:sz w:val="22"/>
            <w:szCs w:val="22"/>
          </w:rPr>
          <w:tag w:val="goog_rdk_0"/>
          <w:id w:val="1286284316"/>
        </w:sdtPr>
        <w:sdtEndPr/>
        <w:sdtContent/>
      </w:sdt>
      <w:sdt>
        <w:sdtPr>
          <w:rPr>
            <w:rFonts w:ascii="Avenir Book" w:hAnsi="Avenir Book" w:cs="Times New Roman"/>
            <w:sz w:val="22"/>
            <w:szCs w:val="22"/>
          </w:rPr>
          <w:tag w:val="goog_rdk_1"/>
          <w:id w:val="-1794989243"/>
        </w:sdtPr>
        <w:sdtEndPr/>
        <w:sdtContent/>
      </w:sdt>
      <w:r w:rsidRPr="00623AA7">
        <w:rPr>
          <w:rFonts w:ascii="Avenir Book" w:hAnsi="Avenir Book" w:cs="Times New Roman"/>
          <w:sz w:val="22"/>
          <w:szCs w:val="22"/>
        </w:rPr>
        <w:t>Sick Building Syndrome (SBS)</w:t>
      </w:r>
      <w:r w:rsidRPr="00623AA7">
        <w:rPr>
          <w:rFonts w:ascii="Avenir Book" w:hAnsi="Avenir Book" w:cs="Times New Roman"/>
          <w:sz w:val="22"/>
          <w:szCs w:val="22"/>
          <w:vertAlign w:val="superscript"/>
        </w:rPr>
        <w:t>2,3,4,5,6,7,</w:t>
      </w:r>
      <w:r w:rsidR="00EC628A" w:rsidRPr="00623AA7">
        <w:rPr>
          <w:rFonts w:ascii="Avenir Book" w:hAnsi="Avenir Book" w:cs="Times New Roman"/>
          <w:sz w:val="22"/>
          <w:szCs w:val="22"/>
          <w:vertAlign w:val="superscript"/>
        </w:rPr>
        <w:t>8</w:t>
      </w:r>
      <w:r w:rsidR="00EC628A" w:rsidRPr="00623AA7">
        <w:rPr>
          <w:rFonts w:ascii="Avenir Book" w:hAnsi="Avenir Book" w:cs="Times New Roman"/>
          <w:sz w:val="22"/>
          <w:szCs w:val="22"/>
        </w:rPr>
        <w:t>, characterized</w:t>
      </w:r>
      <w:r w:rsidRPr="00623AA7">
        <w:rPr>
          <w:rFonts w:ascii="Avenir Book" w:hAnsi="Avenir Book" w:cs="Times New Roman"/>
          <w:sz w:val="22"/>
          <w:szCs w:val="22"/>
        </w:rPr>
        <w:t xml:space="preserve"> by nonspecific symptoms such as headache, fatigue, respiratory distress, and cognitive impairment.</w:t>
      </w:r>
    </w:p>
    <w:p w14:paraId="5D480597" w14:textId="77777777" w:rsidR="00EC628A" w:rsidRDefault="00EC628A" w:rsidP="00D23693">
      <w:pPr>
        <w:jc w:val="both"/>
        <w:rPr>
          <w:rFonts w:ascii="Avenir Book" w:hAnsi="Avenir Book" w:cs="Times New Roman"/>
          <w:sz w:val="22"/>
          <w:szCs w:val="22"/>
        </w:rPr>
      </w:pPr>
    </w:p>
    <w:p w14:paraId="4A6C26A8" w14:textId="4C686DC5" w:rsidR="00A36B72" w:rsidRDefault="00A36B72" w:rsidP="00D23693">
      <w:pPr>
        <w:jc w:val="both"/>
        <w:rPr>
          <w:rFonts w:ascii="Avenir Book" w:hAnsi="Avenir Book" w:cs="Times New Roman"/>
          <w:sz w:val="22"/>
          <w:szCs w:val="22"/>
        </w:rPr>
      </w:pPr>
      <w:r w:rsidRPr="00623AA7">
        <w:rPr>
          <w:rFonts w:ascii="Avenir Book" w:hAnsi="Avenir Book" w:cs="Times New Roman"/>
          <w:sz w:val="22"/>
          <w:szCs w:val="22"/>
        </w:rPr>
        <w:t>In 1993, the New York City Department of Health released the first US government guidance document addressing mold indoors, focused initially on Stachybotrys chartarum</w:t>
      </w:r>
      <w:r w:rsidRPr="00623AA7">
        <w:rPr>
          <w:rFonts w:ascii="Avenir Book" w:hAnsi="Avenir Book" w:cs="Times New Roman"/>
          <w:sz w:val="22"/>
          <w:szCs w:val="22"/>
          <w:vertAlign w:val="superscript"/>
        </w:rPr>
        <w:t>9</w:t>
      </w:r>
      <w:r w:rsidRPr="00623AA7">
        <w:rPr>
          <w:rFonts w:ascii="Avenir Book" w:hAnsi="Avenir Book" w:cs="Times New Roman"/>
          <w:sz w:val="22"/>
          <w:szCs w:val="22"/>
        </w:rPr>
        <w:t xml:space="preserve">. It recommended remediation if one square foot of visible Stachybotrys growth was present. </w:t>
      </w:r>
      <w:sdt>
        <w:sdtPr>
          <w:rPr>
            <w:rFonts w:ascii="Avenir Book" w:hAnsi="Avenir Book" w:cs="Times New Roman"/>
            <w:sz w:val="22"/>
            <w:szCs w:val="22"/>
            <w:highlight w:val="yellow"/>
          </w:rPr>
          <w:tag w:val="goog_rdk_3"/>
          <w:id w:val="2130624403"/>
        </w:sdtPr>
        <w:sdtEndPr/>
        <w:sdtContent/>
      </w:sdt>
      <w:r w:rsidRPr="00623AA7">
        <w:rPr>
          <w:rFonts w:ascii="Avenir Book" w:hAnsi="Avenir Book" w:cs="Times New Roman"/>
          <w:sz w:val="22"/>
          <w:szCs w:val="22"/>
        </w:rPr>
        <w:t>By 2000, the NYC guidance</w:t>
      </w:r>
      <w:r w:rsidRPr="00623AA7">
        <w:rPr>
          <w:rFonts w:ascii="Avenir Book" w:hAnsi="Avenir Book" w:cs="Times New Roman"/>
          <w:sz w:val="22"/>
          <w:szCs w:val="22"/>
          <w:vertAlign w:val="superscript"/>
        </w:rPr>
        <w:t>10</w:t>
      </w:r>
      <w:r w:rsidRPr="00623AA7">
        <w:rPr>
          <w:rFonts w:ascii="Avenir Book" w:hAnsi="Avenir Book" w:cs="Times New Roman"/>
          <w:sz w:val="22"/>
          <w:szCs w:val="22"/>
        </w:rPr>
        <w:t xml:space="preserve"> had been revised to include all mold species. It raised the action threshold to ten square feet—changes that reflected a shift toward broader recognition </w:t>
      </w:r>
      <w:r w:rsidRPr="00623AA7">
        <w:rPr>
          <w:rFonts w:ascii="Avenir Book" w:hAnsi="Avenir Book" w:cs="Times New Roman"/>
          <w:sz w:val="22"/>
          <w:szCs w:val="22"/>
        </w:rPr>
        <w:t>of risk but also raised concerns about the potential downplaying of non-visible contamination.</w:t>
      </w:r>
    </w:p>
    <w:p w14:paraId="18674CD2" w14:textId="77777777" w:rsidR="00EC628A" w:rsidRPr="00623AA7" w:rsidRDefault="00EC628A" w:rsidP="00D23693">
      <w:pPr>
        <w:jc w:val="both"/>
        <w:rPr>
          <w:rFonts w:ascii="Avenir Book" w:hAnsi="Avenir Book" w:cs="Times New Roman"/>
          <w:sz w:val="22"/>
          <w:szCs w:val="22"/>
        </w:rPr>
      </w:pPr>
    </w:p>
    <w:p w14:paraId="3213D82B" w14:textId="6EED8B4D" w:rsidR="00A36B72" w:rsidRDefault="00A36B72" w:rsidP="00D23693">
      <w:pPr>
        <w:jc w:val="both"/>
        <w:rPr>
          <w:rFonts w:ascii="Avenir Book" w:hAnsi="Avenir Book" w:cs="Times New Roman"/>
          <w:sz w:val="22"/>
          <w:szCs w:val="22"/>
        </w:rPr>
      </w:pPr>
      <w:r w:rsidRPr="00623AA7">
        <w:rPr>
          <w:rFonts w:ascii="Avenir Book" w:hAnsi="Avenir Book" w:cs="Times New Roman"/>
          <w:sz w:val="22"/>
          <w:szCs w:val="22"/>
        </w:rPr>
        <w:t>In 1999, the American Conference of Governmental Industrial Hygienists (ACGIH) published Bioaerosols: Assessment and Control</w:t>
      </w:r>
      <w:r w:rsidRPr="00623AA7">
        <w:rPr>
          <w:rFonts w:ascii="Avenir Book" w:hAnsi="Avenir Book" w:cs="Times New Roman"/>
          <w:sz w:val="22"/>
          <w:szCs w:val="22"/>
          <w:vertAlign w:val="superscript"/>
        </w:rPr>
        <w:t>11</w:t>
      </w:r>
      <w:r w:rsidRPr="00623AA7">
        <w:rPr>
          <w:rFonts w:ascii="Avenir Book" w:hAnsi="Avenir Book" w:cs="Times New Roman"/>
          <w:sz w:val="22"/>
          <w:szCs w:val="22"/>
        </w:rPr>
        <w:t>, a foundational text that acknowledged the role of airborne microbial particles in building-related illness. While it stopped short of defining exposure thresholds, it laid critical groundwork for understanding how occupants can be affected even when mold growth is not readily visible.</w:t>
      </w:r>
    </w:p>
    <w:p w14:paraId="1851F944" w14:textId="77777777" w:rsidR="002B02EA" w:rsidRPr="00623AA7" w:rsidRDefault="002B02EA" w:rsidP="00D23693">
      <w:pPr>
        <w:jc w:val="both"/>
        <w:rPr>
          <w:rFonts w:ascii="Avenir Book" w:hAnsi="Avenir Book" w:cs="Times New Roman"/>
          <w:sz w:val="22"/>
          <w:szCs w:val="22"/>
        </w:rPr>
      </w:pPr>
    </w:p>
    <w:p w14:paraId="3E58BAFE" w14:textId="77777777" w:rsidR="00A36B72" w:rsidRPr="00947AC5" w:rsidRDefault="00A36B72" w:rsidP="00D23693">
      <w:pPr>
        <w:jc w:val="both"/>
        <w:rPr>
          <w:rFonts w:ascii="Avenir Book" w:hAnsi="Avenir Book" w:cs="Times New Roman"/>
          <w:color w:val="11639F"/>
          <w:sz w:val="28"/>
          <w:szCs w:val="32"/>
        </w:rPr>
      </w:pPr>
      <w:r w:rsidRPr="00947AC5">
        <w:rPr>
          <w:rFonts w:ascii="Avenir Book" w:hAnsi="Avenir Book" w:cs="Times New Roman"/>
          <w:b/>
          <w:color w:val="11639F"/>
          <w:sz w:val="28"/>
          <w:szCs w:val="32"/>
        </w:rPr>
        <w:t>The Industry: 2001-Present</w:t>
      </w:r>
    </w:p>
    <w:p w14:paraId="6D0A8627" w14:textId="36925E0A" w:rsidR="00A36B72" w:rsidRDefault="00A36B72" w:rsidP="00D23693">
      <w:pPr>
        <w:jc w:val="both"/>
        <w:rPr>
          <w:rFonts w:ascii="Avenir Book" w:hAnsi="Avenir Book" w:cs="Times New Roman"/>
          <w:sz w:val="22"/>
          <w:szCs w:val="22"/>
        </w:rPr>
      </w:pPr>
      <w:r w:rsidRPr="00623AA7">
        <w:rPr>
          <w:rFonts w:ascii="Avenir Book" w:hAnsi="Avenir Book" w:cs="Times New Roman"/>
          <w:sz w:val="22"/>
          <w:szCs w:val="22"/>
        </w:rPr>
        <w:t>The US EPA's 2001 publication Mold Remediation in Schools and Commercial Buildings</w:t>
      </w:r>
      <w:r w:rsidRPr="00623AA7">
        <w:rPr>
          <w:rFonts w:ascii="Avenir Book" w:hAnsi="Avenir Book" w:cs="Times New Roman"/>
          <w:sz w:val="22"/>
          <w:szCs w:val="22"/>
          <w:vertAlign w:val="superscript"/>
        </w:rPr>
        <w:t>12</w:t>
      </w:r>
      <w:r w:rsidRPr="00623AA7">
        <w:rPr>
          <w:rFonts w:ascii="Avenir Book" w:hAnsi="Avenir Book" w:cs="Times New Roman"/>
          <w:sz w:val="22"/>
          <w:szCs w:val="22"/>
        </w:rPr>
        <w:t xml:space="preserve"> reinforced many best practices for containment and </w:t>
      </w:r>
      <w:r w:rsidR="00644422" w:rsidRPr="00623AA7">
        <w:rPr>
          <w:rFonts w:ascii="Avenir Book" w:hAnsi="Avenir Book" w:cs="Times New Roman"/>
          <w:sz w:val="22"/>
          <w:szCs w:val="22"/>
        </w:rPr>
        <w:t>cleaning</w:t>
      </w:r>
      <w:r w:rsidR="00644422">
        <w:rPr>
          <w:rFonts w:ascii="Avenir Book" w:hAnsi="Avenir Book" w:cs="Times New Roman"/>
          <w:sz w:val="22"/>
          <w:szCs w:val="22"/>
        </w:rPr>
        <w:t xml:space="preserve"> but</w:t>
      </w:r>
      <w:r w:rsidRPr="00623AA7">
        <w:rPr>
          <w:rFonts w:ascii="Avenir Book" w:hAnsi="Avenir Book" w:cs="Times New Roman"/>
          <w:sz w:val="22"/>
          <w:szCs w:val="22"/>
        </w:rPr>
        <w:t xml:space="preserve"> </w:t>
      </w:r>
      <w:r w:rsidR="00644422" w:rsidRPr="00623AA7">
        <w:rPr>
          <w:rFonts w:ascii="Avenir Book" w:hAnsi="Avenir Book" w:cs="Times New Roman"/>
          <w:sz w:val="22"/>
          <w:szCs w:val="22"/>
        </w:rPr>
        <w:t>remained</w:t>
      </w:r>
      <w:r w:rsidRPr="00623AA7">
        <w:rPr>
          <w:rFonts w:ascii="Avenir Book" w:hAnsi="Avenir Book" w:cs="Times New Roman"/>
          <w:sz w:val="22"/>
          <w:szCs w:val="22"/>
        </w:rPr>
        <w:t xml:space="preserve"> dependent on visible mold area to guide decisions. Like the NYC guidelines, it did not adequately address subvisible levels of </w:t>
      </w:r>
      <w:r w:rsidR="00644422" w:rsidRPr="00623AA7">
        <w:rPr>
          <w:rFonts w:ascii="Avenir Book" w:hAnsi="Avenir Book" w:cs="Times New Roman"/>
          <w:sz w:val="22"/>
          <w:szCs w:val="22"/>
        </w:rPr>
        <w:t>contamination,</w:t>
      </w:r>
      <w:r w:rsidRPr="00623AA7">
        <w:rPr>
          <w:rFonts w:ascii="Avenir Book" w:hAnsi="Avenir Book" w:cs="Times New Roman"/>
          <w:sz w:val="22"/>
          <w:szCs w:val="22"/>
        </w:rPr>
        <w:t xml:space="preserve"> or the health risks posed by fine and ultrafine particles, which can persist long after source materials are removed </w:t>
      </w:r>
      <w:r w:rsidRPr="00623AA7">
        <w:rPr>
          <w:rFonts w:ascii="Avenir Book" w:hAnsi="Avenir Book" w:cs="Times New Roman"/>
          <w:sz w:val="22"/>
          <w:szCs w:val="22"/>
          <w:vertAlign w:val="superscript"/>
        </w:rPr>
        <w:t>13,14,15,16,17,18,19,20</w:t>
      </w:r>
      <w:r w:rsidRPr="00623AA7">
        <w:rPr>
          <w:rFonts w:ascii="Avenir Book" w:hAnsi="Avenir Book" w:cs="Times New Roman"/>
          <w:sz w:val="22"/>
          <w:szCs w:val="22"/>
        </w:rPr>
        <w:t>.</w:t>
      </w:r>
    </w:p>
    <w:p w14:paraId="25F37653" w14:textId="77777777" w:rsidR="002B02EA" w:rsidRPr="00623AA7" w:rsidRDefault="002B02EA" w:rsidP="00D23693">
      <w:pPr>
        <w:jc w:val="both"/>
        <w:rPr>
          <w:rFonts w:ascii="Avenir Book" w:hAnsi="Avenir Book" w:cs="Times New Roman"/>
          <w:sz w:val="22"/>
          <w:szCs w:val="22"/>
        </w:rPr>
      </w:pPr>
    </w:p>
    <w:p w14:paraId="47C964E1" w14:textId="07E62C4B" w:rsidR="00A36B72" w:rsidRDefault="00A36B72" w:rsidP="00D23693">
      <w:pPr>
        <w:jc w:val="both"/>
        <w:rPr>
          <w:rFonts w:ascii="Avenir Book" w:hAnsi="Avenir Book" w:cs="Times New Roman"/>
          <w:sz w:val="22"/>
          <w:szCs w:val="22"/>
        </w:rPr>
      </w:pPr>
      <w:r w:rsidRPr="00623AA7">
        <w:rPr>
          <w:rFonts w:ascii="Avenir Book" w:hAnsi="Avenir Book" w:cs="Times New Roman"/>
          <w:sz w:val="22"/>
          <w:szCs w:val="22"/>
        </w:rPr>
        <w:t xml:space="preserve">The IICRC S500 and S520 standards, introduced in </w:t>
      </w:r>
      <w:sdt>
        <w:sdtPr>
          <w:rPr>
            <w:rFonts w:ascii="Avenir Book" w:hAnsi="Avenir Book" w:cs="Times New Roman"/>
            <w:sz w:val="22"/>
            <w:szCs w:val="22"/>
          </w:rPr>
          <w:tag w:val="goog_rdk_7"/>
          <w:id w:val="-614546453"/>
        </w:sdtPr>
        <w:sdtEndPr/>
        <w:sdtContent/>
      </w:sdt>
      <w:r w:rsidRPr="00623AA7">
        <w:rPr>
          <w:rFonts w:ascii="Avenir Book" w:hAnsi="Avenir Book" w:cs="Times New Roman"/>
          <w:sz w:val="22"/>
          <w:szCs w:val="22"/>
        </w:rPr>
        <w:t>19</w:t>
      </w:r>
      <w:r w:rsidR="00BB0D25">
        <w:rPr>
          <w:rFonts w:ascii="Avenir Book" w:hAnsi="Avenir Book" w:cs="Times New Roman"/>
          <w:sz w:val="22"/>
          <w:szCs w:val="22"/>
        </w:rPr>
        <w:t xml:space="preserve"> and 2003, respectively, further formali</w:t>
      </w:r>
      <w:r w:rsidR="00CA7E15">
        <w:rPr>
          <w:rFonts w:ascii="Avenir Book" w:hAnsi="Avenir Book" w:cs="Times New Roman"/>
          <w:sz w:val="22"/>
          <w:szCs w:val="22"/>
        </w:rPr>
        <w:t>z</w:t>
      </w:r>
      <w:r w:rsidR="00BB0D25">
        <w:rPr>
          <w:rFonts w:ascii="Avenir Book" w:hAnsi="Avenir Book" w:cs="Times New Roman"/>
          <w:sz w:val="22"/>
          <w:szCs w:val="22"/>
        </w:rPr>
        <w:t>ed the protocols for water damage restoration and m</w:t>
      </w:r>
      <w:r w:rsidR="00A81C91">
        <w:rPr>
          <w:rFonts w:ascii="Avenir Book" w:hAnsi="Avenir Book" w:cs="Times New Roman"/>
          <w:sz w:val="22"/>
          <w:szCs w:val="22"/>
          <w:lang w:val="en-US"/>
        </w:rPr>
        <w:t>o</w:t>
      </w:r>
      <w:r w:rsidRPr="00623AA7">
        <w:rPr>
          <w:rFonts w:ascii="Avenir Book" w:hAnsi="Avenir Book" w:cs="Times New Roman"/>
          <w:sz w:val="22"/>
          <w:szCs w:val="22"/>
        </w:rPr>
        <w:t xml:space="preserve">ld remediation. S500 emphasized the importance of drying as the first step in all water damage events. At the same time, S520 began integrating risk-based approaches to remediation, including containment, engineering controls, and reducing, or, as a best practice, recommending against the practice of using antimicrobial biocides in an inappropriate attempt to kill mold. </w:t>
      </w:r>
    </w:p>
    <w:p w14:paraId="5F9CFDCB" w14:textId="77777777" w:rsidR="002B02EA" w:rsidRPr="00623AA7" w:rsidRDefault="002B02EA" w:rsidP="00D23693">
      <w:pPr>
        <w:jc w:val="both"/>
        <w:rPr>
          <w:rFonts w:ascii="Avenir Book" w:hAnsi="Avenir Book" w:cs="Times New Roman"/>
          <w:sz w:val="22"/>
          <w:szCs w:val="22"/>
        </w:rPr>
      </w:pPr>
    </w:p>
    <w:p w14:paraId="142FD5FF" w14:textId="77777777" w:rsidR="00A36B72" w:rsidRPr="00623AA7" w:rsidRDefault="00A36B72" w:rsidP="00D23693">
      <w:pPr>
        <w:jc w:val="both"/>
        <w:rPr>
          <w:rFonts w:ascii="Avenir Book" w:eastAsia="Roboto" w:hAnsi="Avenir Book" w:cs="Times New Roman"/>
          <w:sz w:val="22"/>
          <w:szCs w:val="22"/>
          <w:highlight w:val="yellow"/>
        </w:rPr>
      </w:pPr>
      <w:r w:rsidRPr="00623AA7">
        <w:rPr>
          <w:rFonts w:ascii="Avenir Book" w:hAnsi="Avenir Book" w:cs="Times New Roman"/>
          <w:sz w:val="22"/>
          <w:szCs w:val="22"/>
        </w:rPr>
        <w:t>The first Edition of IICRC S520 (2003) also marked a groundbreaking shift in professional mold remediation. It moved away from relying solely on visible mold area and introduced a tripartite classification, which continues to be used today:</w:t>
      </w:r>
    </w:p>
    <w:p w14:paraId="0A314B57" w14:textId="77777777" w:rsidR="00A36B72" w:rsidRPr="00623AA7" w:rsidRDefault="00644422" w:rsidP="00D23693">
      <w:pPr>
        <w:jc w:val="both"/>
        <w:rPr>
          <w:rFonts w:ascii="Avenir Book" w:eastAsia="Roboto" w:hAnsi="Avenir Book" w:cs="Times New Roman"/>
          <w:i/>
          <w:iCs/>
          <w:sz w:val="22"/>
          <w:szCs w:val="22"/>
        </w:rPr>
      </w:pPr>
      <w:sdt>
        <w:sdtPr>
          <w:rPr>
            <w:rFonts w:ascii="Avenir Book" w:hAnsi="Avenir Book" w:cs="Times New Roman"/>
            <w:sz w:val="22"/>
            <w:szCs w:val="22"/>
          </w:rPr>
          <w:tag w:val="goog_rdk_9"/>
          <w:id w:val="-1810050277"/>
        </w:sdtPr>
        <w:sdtEndPr/>
        <w:sdtContent/>
      </w:sdt>
      <w:r w:rsidR="00A36B72" w:rsidRPr="00623AA7">
        <w:rPr>
          <w:rFonts w:ascii="Avenir Book" w:eastAsia="Roboto" w:hAnsi="Avenir Book" w:cs="Times New Roman"/>
          <w:i/>
          <w:iCs/>
          <w:sz w:val="22"/>
          <w:szCs w:val="22"/>
        </w:rPr>
        <w:t>Condition 1</w:t>
      </w:r>
      <w:r w:rsidR="00A36B72" w:rsidRPr="00623AA7">
        <w:rPr>
          <w:rFonts w:ascii="Avenir Book" w:eastAsia="Roboto" w:hAnsi="Avenir Book" w:cs="Times New Roman"/>
          <w:i/>
          <w:iCs/>
          <w:sz w:val="22"/>
          <w:szCs w:val="22"/>
          <w:vertAlign w:val="superscript"/>
        </w:rPr>
        <w:t>23</w:t>
      </w:r>
      <w:r w:rsidR="00A36B72" w:rsidRPr="00623AA7">
        <w:rPr>
          <w:rFonts w:ascii="Avenir Book" w:eastAsia="Roboto" w:hAnsi="Avenir Book" w:cs="Times New Roman"/>
          <w:i/>
          <w:iCs/>
          <w:sz w:val="22"/>
          <w:szCs w:val="22"/>
        </w:rPr>
        <w:t xml:space="preserve">: (normal fungal ecology): an indoor environment that may have settled or airborne mold spores or fragments, or traces of actual mold growth and constituents (e.g., ECM, hyphae, mold fragments), that are reflective of a clean and dry indoor environment. </w:t>
      </w:r>
    </w:p>
    <w:p w14:paraId="202408D2" w14:textId="77777777" w:rsidR="00A36B72" w:rsidRPr="00623AA7" w:rsidRDefault="00A36B72" w:rsidP="00D23693">
      <w:pPr>
        <w:jc w:val="both"/>
        <w:rPr>
          <w:rFonts w:ascii="Avenir Book" w:eastAsia="Roboto" w:hAnsi="Avenir Book" w:cs="Times New Roman"/>
          <w:i/>
          <w:iCs/>
          <w:sz w:val="22"/>
          <w:szCs w:val="22"/>
        </w:rPr>
      </w:pPr>
      <w:r w:rsidRPr="00623AA7">
        <w:rPr>
          <w:rFonts w:ascii="Avenir Book" w:eastAsia="Roboto" w:hAnsi="Avenir Book" w:cs="Times New Roman"/>
          <w:i/>
          <w:iCs/>
          <w:sz w:val="22"/>
          <w:szCs w:val="22"/>
        </w:rPr>
        <w:t>Condition 2</w:t>
      </w:r>
      <w:r w:rsidRPr="00623AA7">
        <w:rPr>
          <w:rFonts w:ascii="Avenir Book" w:eastAsia="Roboto" w:hAnsi="Avenir Book" w:cs="Times New Roman"/>
          <w:i/>
          <w:iCs/>
          <w:sz w:val="22"/>
          <w:szCs w:val="22"/>
          <w:vertAlign w:val="superscript"/>
        </w:rPr>
        <w:t>23</w:t>
      </w:r>
      <w:r w:rsidRPr="00623AA7">
        <w:rPr>
          <w:rFonts w:ascii="Avenir Book" w:eastAsia="Roboto" w:hAnsi="Avenir Book" w:cs="Times New Roman"/>
          <w:i/>
          <w:iCs/>
          <w:sz w:val="22"/>
          <w:szCs w:val="22"/>
        </w:rPr>
        <w:t xml:space="preserve">: an indoor environment including surfaces and air, which is contaminated with residual mold biomass from a known Condition 3 source in that same indoor environment. This includes spores and fragments, filaments, or extracellular matrix (ECM) from sporulation, sloughing, or the production of other compounds (e.g., mycotoxins and microvolatile organic compounds, or mVOCs). </w:t>
      </w:r>
    </w:p>
    <w:p w14:paraId="21732D51" w14:textId="77777777" w:rsidR="00A36B72" w:rsidRPr="00623AA7" w:rsidRDefault="00A36B72" w:rsidP="00D23693">
      <w:pPr>
        <w:jc w:val="both"/>
        <w:rPr>
          <w:rFonts w:ascii="Avenir Book" w:eastAsia="Roboto" w:hAnsi="Avenir Book" w:cs="Times New Roman"/>
          <w:i/>
          <w:iCs/>
          <w:sz w:val="22"/>
          <w:szCs w:val="22"/>
        </w:rPr>
      </w:pPr>
      <w:r w:rsidRPr="00623AA7">
        <w:rPr>
          <w:rFonts w:ascii="Avenir Book" w:eastAsia="Roboto" w:hAnsi="Avenir Book" w:cs="Times New Roman"/>
          <w:i/>
          <w:iCs/>
          <w:sz w:val="22"/>
          <w:szCs w:val="22"/>
        </w:rPr>
        <w:t>Condition 3</w:t>
      </w:r>
      <w:r w:rsidRPr="00623AA7">
        <w:rPr>
          <w:rFonts w:ascii="Avenir Book" w:eastAsia="Roboto" w:hAnsi="Avenir Book" w:cs="Times New Roman"/>
          <w:i/>
          <w:iCs/>
          <w:sz w:val="22"/>
          <w:szCs w:val="22"/>
          <w:vertAlign w:val="superscript"/>
        </w:rPr>
        <w:t>23</w:t>
      </w:r>
      <w:r w:rsidRPr="00623AA7">
        <w:rPr>
          <w:rFonts w:ascii="Avenir Book" w:eastAsia="Roboto" w:hAnsi="Avenir Book" w:cs="Times New Roman"/>
          <w:i/>
          <w:iCs/>
          <w:sz w:val="22"/>
          <w:szCs w:val="22"/>
        </w:rPr>
        <w:t xml:space="preserve">: (actual mold growth): an indoor environment contaminated with the presence of mold growth that is active, dormant, dead, non-viable, visible, or hidden. </w:t>
      </w:r>
    </w:p>
    <w:p w14:paraId="70F2E941" w14:textId="77777777" w:rsidR="002B02EA" w:rsidRDefault="002B02EA" w:rsidP="00D23693">
      <w:pPr>
        <w:jc w:val="both"/>
        <w:rPr>
          <w:rFonts w:ascii="Avenir Book" w:hAnsi="Avenir Book" w:cs="Times New Roman"/>
          <w:sz w:val="22"/>
          <w:szCs w:val="22"/>
        </w:rPr>
      </w:pPr>
    </w:p>
    <w:p w14:paraId="5A9E4BC6" w14:textId="525E55E0" w:rsidR="00A36B72" w:rsidRDefault="00A36B72" w:rsidP="00D23693">
      <w:pPr>
        <w:jc w:val="both"/>
        <w:rPr>
          <w:rFonts w:ascii="Avenir Book" w:hAnsi="Avenir Book" w:cs="Times New Roman"/>
          <w:sz w:val="22"/>
          <w:szCs w:val="22"/>
        </w:rPr>
      </w:pPr>
      <w:r w:rsidRPr="00623AA7">
        <w:rPr>
          <w:rFonts w:ascii="Avenir Book" w:hAnsi="Avenir Book" w:cs="Times New Roman"/>
          <w:sz w:val="22"/>
          <w:szCs w:val="22"/>
        </w:rPr>
        <w:t xml:space="preserve">This framework rejected the simplistic "size-based" remediation thresholds and acknowledged that microbial contamination </w:t>
      </w:r>
      <w:r w:rsidR="00644422" w:rsidRPr="00623AA7">
        <w:rPr>
          <w:rFonts w:ascii="Avenir Book" w:hAnsi="Avenir Book" w:cs="Times New Roman"/>
          <w:sz w:val="22"/>
          <w:szCs w:val="22"/>
        </w:rPr>
        <w:t>is not</w:t>
      </w:r>
      <w:r w:rsidRPr="00623AA7">
        <w:rPr>
          <w:rFonts w:ascii="Avenir Book" w:hAnsi="Avenir Book" w:cs="Times New Roman"/>
          <w:sz w:val="22"/>
          <w:szCs w:val="22"/>
        </w:rPr>
        <w:t xml:space="preserve"> always visible or active. It underscored a crucial insight: mold spores and fragments can behave like invisible dandelion fluff, released from active growth: areas (Condition</w:t>
      </w:r>
      <w:r w:rsidRPr="00623AA7">
        <w:rPr>
          <w:rFonts w:ascii="Arial" w:hAnsi="Arial" w:cs="Arial"/>
          <w:sz w:val="22"/>
          <w:szCs w:val="22"/>
        </w:rPr>
        <w:t> </w:t>
      </w:r>
      <w:r w:rsidRPr="00623AA7">
        <w:rPr>
          <w:rFonts w:ascii="Avenir Book" w:hAnsi="Avenir Book" w:cs="Times New Roman"/>
          <w:sz w:val="22"/>
          <w:szCs w:val="22"/>
        </w:rPr>
        <w:t>3), drifting through air currents, settling elsewhere (Condition</w:t>
      </w:r>
      <w:r w:rsidRPr="00623AA7">
        <w:rPr>
          <w:rFonts w:ascii="Arial" w:hAnsi="Arial" w:cs="Arial"/>
          <w:sz w:val="22"/>
          <w:szCs w:val="22"/>
        </w:rPr>
        <w:t> </w:t>
      </w:r>
      <w:r w:rsidRPr="00623AA7">
        <w:rPr>
          <w:rFonts w:ascii="Avenir Book" w:hAnsi="Avenir Book" w:cs="Times New Roman"/>
          <w:sz w:val="22"/>
          <w:szCs w:val="22"/>
        </w:rPr>
        <w:t>2), and potentially causing health effects, even in spaces with no visible mold.</w:t>
      </w:r>
    </w:p>
    <w:p w14:paraId="46088945" w14:textId="77777777" w:rsidR="002B02EA" w:rsidRPr="00623AA7" w:rsidRDefault="002B02EA" w:rsidP="00D23693">
      <w:pPr>
        <w:jc w:val="both"/>
        <w:rPr>
          <w:rFonts w:ascii="Avenir Book" w:hAnsi="Avenir Book" w:cs="Times New Roman"/>
          <w:sz w:val="22"/>
          <w:szCs w:val="22"/>
        </w:rPr>
      </w:pPr>
    </w:p>
    <w:p w14:paraId="05CDD27C" w14:textId="51411A3C" w:rsidR="00A36B72" w:rsidRDefault="00644422" w:rsidP="00D23693">
      <w:pPr>
        <w:jc w:val="both"/>
        <w:rPr>
          <w:rFonts w:ascii="Avenir Book" w:hAnsi="Avenir Book" w:cs="Times New Roman"/>
          <w:sz w:val="22"/>
          <w:szCs w:val="22"/>
        </w:rPr>
      </w:pPr>
      <w:sdt>
        <w:sdtPr>
          <w:rPr>
            <w:rFonts w:ascii="Avenir Book" w:hAnsi="Avenir Book" w:cs="Times New Roman"/>
            <w:sz w:val="22"/>
            <w:szCs w:val="22"/>
          </w:rPr>
          <w:tag w:val="goog_rdk_10"/>
          <w:id w:val="670465153"/>
        </w:sdtPr>
        <w:sdtEndPr/>
        <w:sdtContent/>
      </w:sdt>
      <w:r w:rsidR="00A36B72" w:rsidRPr="00623AA7">
        <w:rPr>
          <w:rFonts w:ascii="Avenir Book" w:hAnsi="Avenir Book" w:cs="Times New Roman"/>
          <w:sz w:val="22"/>
          <w:szCs w:val="22"/>
        </w:rPr>
        <w:t>The importance of this invisible pathway was further explained in,</w:t>
      </w:r>
      <w:r w:rsidR="00A36B72" w:rsidRPr="00623AA7">
        <w:rPr>
          <w:rFonts w:ascii="Avenir Book" w:hAnsi="Avenir Book" w:cs="Times New Roman"/>
          <w:i/>
          <w:sz w:val="22"/>
          <w:szCs w:val="22"/>
        </w:rPr>
        <w:t xml:space="preserve"> "</w:t>
      </w:r>
      <w:r w:rsidR="00BC63BC" w:rsidRPr="00623AA7">
        <w:rPr>
          <w:rFonts w:ascii="Avenir Book" w:hAnsi="Avenir Book" w:cs="Times New Roman"/>
          <w:i/>
          <w:sz w:val="22"/>
          <w:szCs w:val="22"/>
        </w:rPr>
        <w:t>Modelling</w:t>
      </w:r>
      <w:r w:rsidR="00A36B72" w:rsidRPr="00623AA7">
        <w:rPr>
          <w:rFonts w:ascii="Avenir Book" w:hAnsi="Avenir Book" w:cs="Times New Roman"/>
          <w:i/>
          <w:sz w:val="22"/>
          <w:szCs w:val="22"/>
        </w:rPr>
        <w:t xml:space="preserve"> the Equilibrium Spore Load of a </w:t>
      </w:r>
      <w:r w:rsidR="00A36B72" w:rsidRPr="00623AA7">
        <w:rPr>
          <w:rFonts w:ascii="Avenir Book" w:hAnsi="Avenir Book" w:cs="Times New Roman"/>
          <w:i/>
          <w:sz w:val="22"/>
          <w:szCs w:val="22"/>
        </w:rPr>
        <w:lastRenderedPageBreak/>
        <w:t>Building</w:t>
      </w:r>
      <w:r w:rsidR="00A36B72" w:rsidRPr="00623AA7">
        <w:rPr>
          <w:rFonts w:ascii="Avenir Book" w:hAnsi="Avenir Book" w:cs="Times New Roman"/>
          <w:i/>
          <w:sz w:val="22"/>
          <w:szCs w:val="22"/>
          <w:vertAlign w:val="superscript"/>
        </w:rPr>
        <w:t>24</w:t>
      </w:r>
      <w:r w:rsidR="00A36B72" w:rsidRPr="00623AA7">
        <w:rPr>
          <w:rFonts w:ascii="Avenir Book" w:hAnsi="Avenir Book" w:cs="Times New Roman"/>
          <w:i/>
          <w:sz w:val="22"/>
          <w:szCs w:val="22"/>
        </w:rPr>
        <w:t>"</w:t>
      </w:r>
      <w:r w:rsidR="000244D0">
        <w:rPr>
          <w:rFonts w:ascii="Avenir Book" w:hAnsi="Avenir Book" w:cs="Times New Roman"/>
          <w:i/>
          <w:sz w:val="22"/>
          <w:szCs w:val="22"/>
        </w:rPr>
        <w:t>,</w:t>
      </w:r>
      <w:r w:rsidR="003147A8">
        <w:rPr>
          <w:rFonts w:ascii="Avenir Book" w:hAnsi="Avenir Book" w:cs="Times New Roman"/>
          <w:sz w:val="22"/>
          <w:szCs w:val="22"/>
          <w:lang w:val="en-US"/>
        </w:rPr>
        <w:t xml:space="preserve"> w</w:t>
      </w:r>
      <w:r w:rsidR="00BC63BC" w:rsidRPr="00623AA7">
        <w:rPr>
          <w:rFonts w:ascii="Avenir Book" w:hAnsi="Avenir Book" w:cs="Times New Roman"/>
          <w:sz w:val="22"/>
          <w:szCs w:val="22"/>
        </w:rPr>
        <w:t>which</w:t>
      </w:r>
      <w:r w:rsidR="00A36B72" w:rsidRPr="00623AA7">
        <w:rPr>
          <w:rFonts w:ascii="Avenir Book" w:hAnsi="Avenir Book" w:cs="Times New Roman"/>
          <w:sz w:val="22"/>
          <w:szCs w:val="22"/>
        </w:rPr>
        <w:t xml:space="preserve"> demonstrated mathematically how aerosolized spores reach an equilibrium concentration based on source strength, room volume, airflow, and surface deposition rates and other factors such as filtration, cleaning and tracking of contaminants from the outside. This model demonstrated and offered a scientific basis for why Condition</w:t>
      </w:r>
      <w:r w:rsidR="00946DC9">
        <w:rPr>
          <w:rFonts w:ascii="Arial" w:hAnsi="Arial" w:cs="Arial"/>
          <w:sz w:val="22"/>
          <w:szCs w:val="22"/>
        </w:rPr>
        <w:t xml:space="preserve"> 2 contamination </w:t>
      </w:r>
      <w:r w:rsidR="00F04255">
        <w:rPr>
          <w:rFonts w:ascii="Arial" w:hAnsi="Arial" w:cs="Arial"/>
          <w:sz w:val="22"/>
          <w:szCs w:val="22"/>
        </w:rPr>
        <w:t>can</w:t>
      </w:r>
      <w:r w:rsidR="00A36B72" w:rsidRPr="00623AA7">
        <w:rPr>
          <w:rFonts w:ascii="Avenir Book" w:hAnsi="Avenir Book" w:cs="Times New Roman"/>
          <w:sz w:val="22"/>
          <w:szCs w:val="22"/>
        </w:rPr>
        <w:t xml:space="preserve"> persist, spread, and impact occupant health even after visible remediation steps are taken.</w:t>
      </w:r>
    </w:p>
    <w:p w14:paraId="271FC8F4" w14:textId="77777777" w:rsidR="002B02EA" w:rsidRPr="00623AA7" w:rsidRDefault="002B02EA" w:rsidP="00D23693">
      <w:pPr>
        <w:jc w:val="both"/>
        <w:rPr>
          <w:rFonts w:ascii="Avenir Book" w:hAnsi="Avenir Book" w:cs="Times New Roman"/>
          <w:sz w:val="22"/>
          <w:szCs w:val="22"/>
        </w:rPr>
      </w:pPr>
    </w:p>
    <w:p w14:paraId="44109392" w14:textId="77777777" w:rsidR="00A36B72" w:rsidRPr="00623AA7" w:rsidRDefault="00A36B72" w:rsidP="00D23693">
      <w:pPr>
        <w:jc w:val="both"/>
        <w:rPr>
          <w:rFonts w:ascii="Avenir Book" w:hAnsi="Avenir Book" w:cs="Times New Roman"/>
          <w:sz w:val="22"/>
          <w:szCs w:val="22"/>
        </w:rPr>
      </w:pPr>
      <w:r w:rsidRPr="00623AA7">
        <w:rPr>
          <w:rFonts w:ascii="Avenir Book" w:hAnsi="Avenir Book" w:cs="Times New Roman"/>
          <w:sz w:val="22"/>
          <w:szCs w:val="22"/>
        </w:rPr>
        <w:t>This has significant clinical implications. Occupants may continue to experience symptoms even after visible mold is removed, due to suspended or settled particulate contamination. Recognizing this, remediation must encompass:</w:t>
      </w:r>
    </w:p>
    <w:p w14:paraId="4AFA2E8A" w14:textId="77777777" w:rsidR="00A36B72" w:rsidRPr="00126667" w:rsidRDefault="00A36B72" w:rsidP="00126667">
      <w:pPr>
        <w:pStyle w:val="ListParagraph"/>
        <w:numPr>
          <w:ilvl w:val="0"/>
          <w:numId w:val="11"/>
        </w:numPr>
        <w:jc w:val="both"/>
        <w:rPr>
          <w:rFonts w:ascii="Avenir Book" w:hAnsi="Avenir Book" w:cs="Times New Roman"/>
          <w:sz w:val="22"/>
          <w:szCs w:val="22"/>
        </w:rPr>
      </w:pPr>
      <w:r w:rsidRPr="00126667">
        <w:rPr>
          <w:rFonts w:ascii="Avenir Book" w:hAnsi="Avenir Book" w:cs="Times New Roman"/>
          <w:sz w:val="22"/>
          <w:szCs w:val="22"/>
        </w:rPr>
        <w:t>Identification of hidden mold sources (Condition</w:t>
      </w:r>
      <w:r w:rsidRPr="00126667">
        <w:rPr>
          <w:rFonts w:ascii="Arial" w:hAnsi="Arial" w:cs="Arial"/>
          <w:sz w:val="22"/>
          <w:szCs w:val="22"/>
        </w:rPr>
        <w:t> </w:t>
      </w:r>
      <w:r w:rsidRPr="00126667">
        <w:rPr>
          <w:rFonts w:ascii="Avenir Book" w:hAnsi="Avenir Book" w:cs="Times New Roman"/>
          <w:sz w:val="22"/>
          <w:szCs w:val="22"/>
        </w:rPr>
        <w:t>3)</w:t>
      </w:r>
    </w:p>
    <w:p w14:paraId="7AD8508D" w14:textId="77777777" w:rsidR="00A36B72" w:rsidRPr="00126667" w:rsidRDefault="00A36B72" w:rsidP="00126667">
      <w:pPr>
        <w:pStyle w:val="ListParagraph"/>
        <w:numPr>
          <w:ilvl w:val="0"/>
          <w:numId w:val="11"/>
        </w:numPr>
        <w:jc w:val="both"/>
        <w:rPr>
          <w:rFonts w:ascii="Avenir Book" w:hAnsi="Avenir Book" w:cs="Times New Roman"/>
          <w:sz w:val="22"/>
          <w:szCs w:val="22"/>
        </w:rPr>
      </w:pPr>
      <w:r w:rsidRPr="00126667">
        <w:rPr>
          <w:rFonts w:ascii="Avenir Book" w:hAnsi="Avenir Book" w:cs="Times New Roman"/>
          <w:sz w:val="22"/>
          <w:szCs w:val="22"/>
        </w:rPr>
        <w:t>Control of aerosolization during remediation</w:t>
      </w:r>
    </w:p>
    <w:p w14:paraId="2C1042F5" w14:textId="77777777" w:rsidR="00AB55F5" w:rsidRPr="00126667" w:rsidRDefault="00A36B72" w:rsidP="00126667">
      <w:pPr>
        <w:pStyle w:val="ListParagraph"/>
        <w:numPr>
          <w:ilvl w:val="0"/>
          <w:numId w:val="11"/>
        </w:numPr>
        <w:jc w:val="both"/>
        <w:rPr>
          <w:rFonts w:ascii="Avenir Book" w:hAnsi="Avenir Book" w:cs="Times New Roman"/>
          <w:sz w:val="22"/>
          <w:szCs w:val="22"/>
        </w:rPr>
      </w:pPr>
      <w:r w:rsidRPr="00126667">
        <w:rPr>
          <w:rFonts w:ascii="Avenir Book" w:hAnsi="Avenir Book" w:cs="Times New Roman"/>
          <w:sz w:val="22"/>
          <w:szCs w:val="22"/>
        </w:rPr>
        <w:t>Verification of spore and fragment reduction (Condition</w:t>
      </w:r>
      <w:r w:rsidRPr="00126667">
        <w:rPr>
          <w:rFonts w:ascii="Arial" w:hAnsi="Arial" w:cs="Arial"/>
          <w:sz w:val="22"/>
          <w:szCs w:val="22"/>
        </w:rPr>
        <w:t> </w:t>
      </w:r>
      <w:r w:rsidRPr="00126667">
        <w:rPr>
          <w:rFonts w:ascii="Avenir Book" w:hAnsi="Avenir Book" w:cs="Times New Roman"/>
          <w:sz w:val="22"/>
          <w:szCs w:val="22"/>
        </w:rPr>
        <w:t>2)</w:t>
      </w:r>
    </w:p>
    <w:p w14:paraId="57972B0E" w14:textId="613AE92D" w:rsidR="00A36B72" w:rsidRPr="00AB55F5" w:rsidRDefault="00A36B72" w:rsidP="00D23693">
      <w:pPr>
        <w:ind w:left="720"/>
        <w:jc w:val="both"/>
        <w:rPr>
          <w:rFonts w:ascii="Avenir Book" w:hAnsi="Avenir Book" w:cs="Times New Roman"/>
          <w:sz w:val="22"/>
          <w:szCs w:val="22"/>
        </w:rPr>
      </w:pPr>
      <w:r w:rsidRPr="00AB55F5">
        <w:rPr>
          <w:rFonts w:ascii="Avenir Book" w:hAnsi="Avenir Book" w:cs="Times New Roman"/>
          <w:sz w:val="22"/>
          <w:szCs w:val="22"/>
        </w:rPr>
        <w:t xml:space="preserve"> </w:t>
      </w:r>
    </w:p>
    <w:p w14:paraId="5D5B9F69" w14:textId="34FD6D3C" w:rsidR="00A36B72" w:rsidRPr="00AB55F5"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These steps are essential to </w:t>
      </w:r>
      <w:r w:rsidR="00F04255">
        <w:rPr>
          <w:rFonts w:ascii="Avenir Book" w:hAnsi="Avenir Book" w:cs="Times New Roman"/>
          <w:sz w:val="22"/>
          <w:szCs w:val="22"/>
        </w:rPr>
        <w:t>restore a building to a healthy baseline</w:t>
      </w:r>
      <w:r w:rsidR="007B7AC7">
        <w:rPr>
          <w:rFonts w:ascii="Avenir Book" w:hAnsi="Avenir Book" w:cs="Times New Roman"/>
          <w:sz w:val="22"/>
          <w:szCs w:val="22"/>
        </w:rPr>
        <w:t>,</w:t>
      </w:r>
      <w:r w:rsidR="00F04255">
        <w:rPr>
          <w:rFonts w:ascii="Avenir Book" w:hAnsi="Avenir Book" w:cs="Times New Roman"/>
          <w:sz w:val="22"/>
          <w:szCs w:val="22"/>
        </w:rPr>
        <w:t xml:space="preserve"> genuinely</w:t>
      </w:r>
      <w:r w:rsidRPr="00AB55F5">
        <w:rPr>
          <w:rFonts w:ascii="Avenir Book" w:hAnsi="Avenir Book" w:cs="Times New Roman"/>
          <w:sz w:val="22"/>
          <w:szCs w:val="22"/>
        </w:rPr>
        <w:t>—not simply clean it.</w:t>
      </w:r>
    </w:p>
    <w:p w14:paraId="1EFF6B7E" w14:textId="77777777" w:rsidR="00A36B72" w:rsidRPr="00126667" w:rsidRDefault="00A36B72" w:rsidP="00D23693">
      <w:pPr>
        <w:jc w:val="both"/>
        <w:rPr>
          <w:rFonts w:ascii="Avenir Book" w:hAnsi="Avenir Book" w:cs="Times New Roman"/>
          <w:sz w:val="20"/>
          <w:szCs w:val="20"/>
        </w:rPr>
      </w:pPr>
    </w:p>
    <w:p w14:paraId="47CB8D46" w14:textId="11D7BF0C"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As the industry grew, it </w:t>
      </w:r>
      <w:r w:rsidR="00644422" w:rsidRPr="00AB55F5">
        <w:rPr>
          <w:rFonts w:ascii="Avenir Book" w:hAnsi="Avenir Book" w:cs="Times New Roman"/>
          <w:sz w:val="22"/>
          <w:szCs w:val="22"/>
        </w:rPr>
        <w:t>was not</w:t>
      </w:r>
      <w:r w:rsidRPr="00AB55F5">
        <w:rPr>
          <w:rFonts w:ascii="Avenir Book" w:hAnsi="Avenir Book" w:cs="Times New Roman"/>
          <w:sz w:val="22"/>
          <w:szCs w:val="22"/>
        </w:rPr>
        <w:t xml:space="preserve"> without additional challenges. In the early 2000s, public understanding of mold and its health effects was undermined by the Veritox (formerly GlobalTox) scandal. </w:t>
      </w:r>
      <w:sdt>
        <w:sdtPr>
          <w:rPr>
            <w:rFonts w:ascii="Avenir Book" w:hAnsi="Avenir Book" w:cs="Times New Roman"/>
            <w:sz w:val="22"/>
            <w:szCs w:val="22"/>
          </w:rPr>
          <w:tag w:val="goog_rdk_11"/>
          <w:id w:val="816891448"/>
        </w:sdtPr>
        <w:sdtEndPr/>
        <w:sdtContent/>
      </w:sdt>
      <w:r w:rsidRPr="00AB55F5">
        <w:rPr>
          <w:rFonts w:ascii="Avenir Book" w:hAnsi="Avenir Book" w:cs="Times New Roman"/>
          <w:sz w:val="22"/>
          <w:szCs w:val="22"/>
        </w:rPr>
        <w:t>A paper</w:t>
      </w:r>
      <w:r w:rsidRPr="00AB55F5">
        <w:rPr>
          <w:rFonts w:ascii="Avenir Book" w:hAnsi="Avenir Book" w:cs="Times New Roman"/>
          <w:sz w:val="22"/>
          <w:szCs w:val="22"/>
          <w:vertAlign w:val="superscript"/>
        </w:rPr>
        <w:t>25</w:t>
      </w:r>
      <w:r w:rsidRPr="00AB55F5">
        <w:rPr>
          <w:rFonts w:ascii="Avenir Book" w:hAnsi="Avenir Book" w:cs="Times New Roman"/>
          <w:sz w:val="22"/>
          <w:szCs w:val="22"/>
        </w:rPr>
        <w:t xml:space="preserve"> published in the Journal of Occupational and Environmental Medicine, funded by interests in the insurance industry, claimed that mold exposure posed little to no health risk. </w:t>
      </w:r>
      <w:sdt>
        <w:sdtPr>
          <w:rPr>
            <w:rFonts w:ascii="Avenir Book" w:hAnsi="Avenir Book" w:cs="Times New Roman"/>
            <w:sz w:val="22"/>
            <w:szCs w:val="22"/>
          </w:rPr>
          <w:tag w:val="goog_rdk_12"/>
          <w:id w:val="-1207973607"/>
        </w:sdtPr>
        <w:sdtEndPr/>
        <w:sdtContent/>
      </w:sdt>
      <w:sdt>
        <w:sdtPr>
          <w:rPr>
            <w:rFonts w:ascii="Avenir Book" w:hAnsi="Avenir Book" w:cs="Times New Roman"/>
            <w:sz w:val="22"/>
            <w:szCs w:val="22"/>
          </w:rPr>
          <w:tag w:val="goog_rdk_13"/>
          <w:id w:val="1268287408"/>
        </w:sdtPr>
        <w:sdtEndPr/>
        <w:sdtContent/>
      </w:sdt>
      <w:r w:rsidRPr="00AB55F5">
        <w:rPr>
          <w:rFonts w:ascii="Avenir Book" w:hAnsi="Avenir Book" w:cs="Times New Roman"/>
          <w:sz w:val="22"/>
          <w:szCs w:val="22"/>
        </w:rPr>
        <w:t>The study's authors failed to disclose financial conflicts of interest, and later testimony revealed that payments had been made</w:t>
      </w:r>
      <w:r w:rsidRPr="00AB55F5">
        <w:rPr>
          <w:rFonts w:ascii="Avenir Book" w:hAnsi="Avenir Book" w:cs="Times New Roman"/>
          <w:sz w:val="22"/>
          <w:szCs w:val="22"/>
          <w:vertAlign w:val="superscript"/>
        </w:rPr>
        <w:t>26,27,28,29,30</w:t>
      </w:r>
      <w:r w:rsidRPr="00AB55F5">
        <w:rPr>
          <w:rFonts w:ascii="Avenir Book" w:hAnsi="Avenir Book" w:cs="Times New Roman"/>
          <w:sz w:val="22"/>
          <w:szCs w:val="22"/>
        </w:rPr>
        <w:t>. The journal eventually sunsetted the paper, but its conclusions had already been used widely to justify the denial of insurance claims and medical complaints.</w:t>
      </w:r>
    </w:p>
    <w:p w14:paraId="1582CF8C" w14:textId="77777777" w:rsidR="00AB55F5" w:rsidRPr="00126667" w:rsidRDefault="00AB55F5" w:rsidP="00D23693">
      <w:pPr>
        <w:jc w:val="both"/>
        <w:rPr>
          <w:rFonts w:ascii="Avenir Book" w:hAnsi="Avenir Book" w:cs="Times New Roman"/>
          <w:sz w:val="20"/>
          <w:szCs w:val="20"/>
        </w:rPr>
      </w:pPr>
    </w:p>
    <w:p w14:paraId="66F7A1BA" w14:textId="77777777"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Despite this setback, recognition of mold related health issues continued. </w:t>
      </w:r>
      <w:sdt>
        <w:sdtPr>
          <w:rPr>
            <w:rFonts w:ascii="Avenir Book" w:hAnsi="Avenir Book" w:cs="Times New Roman"/>
            <w:sz w:val="22"/>
            <w:szCs w:val="22"/>
          </w:rPr>
          <w:tag w:val="goog_rdk_14"/>
          <w:id w:val="976499827"/>
        </w:sdtPr>
        <w:sdtEndPr/>
        <w:sdtContent/>
      </w:sdt>
      <w:r w:rsidRPr="00AB55F5">
        <w:rPr>
          <w:rFonts w:ascii="Avenir Book" w:hAnsi="Avenir Book" w:cs="Times New Roman"/>
          <w:sz w:val="22"/>
          <w:szCs w:val="22"/>
        </w:rPr>
        <w:t xml:space="preserve">The </w:t>
      </w:r>
      <w:r w:rsidRPr="00AB55F5">
        <w:rPr>
          <w:rFonts w:ascii="Avenir Book" w:hAnsi="Avenir Book" w:cs="Times New Roman"/>
          <w:i/>
          <w:sz w:val="22"/>
          <w:szCs w:val="22"/>
        </w:rPr>
        <w:t>Guidance for Clinicians on the Recognition and Management of Health Effects Related to Mold Exposure and Moisture Indoors</w:t>
      </w:r>
      <w:r w:rsidRPr="00AB55F5">
        <w:rPr>
          <w:rFonts w:ascii="Avenir Book" w:hAnsi="Avenir Book" w:cs="Times New Roman"/>
          <w:sz w:val="22"/>
          <w:szCs w:val="22"/>
          <w:vertAlign w:val="superscript"/>
        </w:rPr>
        <w:t>31</w:t>
      </w:r>
      <w:r w:rsidRPr="00AB55F5">
        <w:rPr>
          <w:rFonts w:ascii="Avenir Book" w:hAnsi="Avenir Book" w:cs="Times New Roman"/>
          <w:sz w:val="22"/>
          <w:szCs w:val="22"/>
        </w:rPr>
        <w:t xml:space="preserve"> was developed to support medical professionals in identifying, evaluating, and managing health complaints potentially linked to indoor mold and dampness. The guide began to bridge the gap between clinical presentation and environmental exposure, offering physicians practical tools for patient evaluation, diagnostic considerations, and collaboration with indoor environmental professionals (IEPs). It emphasizes a multidisciplinary approach, recognizing that accurate diagnosis and effective treatment often require both medical insight and a thorough understanding of the patient's environment.</w:t>
      </w:r>
    </w:p>
    <w:p w14:paraId="37F6DDE6" w14:textId="77777777" w:rsidR="00AB55F5" w:rsidRPr="00126667" w:rsidRDefault="00AB55F5" w:rsidP="00D23693">
      <w:pPr>
        <w:jc w:val="both"/>
        <w:rPr>
          <w:rFonts w:ascii="Avenir Book" w:hAnsi="Avenir Book" w:cs="Times New Roman"/>
          <w:sz w:val="20"/>
          <w:szCs w:val="20"/>
        </w:rPr>
      </w:pPr>
    </w:p>
    <w:p w14:paraId="45043A9B" w14:textId="41F4588F"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Around the same period, a breakthrough in mold analysis emerged from researchers at the US Environmental Protection Agency (EPA). Dr. Stephen Vesper and colleagues developed a </w:t>
      </w:r>
      <w:sdt>
        <w:sdtPr>
          <w:rPr>
            <w:rFonts w:ascii="Avenir Book" w:hAnsi="Avenir Book" w:cs="Times New Roman"/>
            <w:sz w:val="22"/>
            <w:szCs w:val="22"/>
          </w:rPr>
          <w:tag w:val="goog_rdk_15"/>
          <w:id w:val="-538940900"/>
        </w:sdtPr>
        <w:sdtEndPr/>
        <w:sdtContent/>
      </w:sdt>
      <w:r w:rsidRPr="00AB55F5">
        <w:rPr>
          <w:rFonts w:ascii="Avenir Book" w:hAnsi="Avenir Book" w:cs="Times New Roman"/>
          <w:sz w:val="22"/>
          <w:szCs w:val="22"/>
        </w:rPr>
        <w:t>patented technolo</w:t>
      </w:r>
      <w:r w:rsidR="00E672BE">
        <w:rPr>
          <w:rFonts w:ascii="Avenir Book" w:hAnsi="Avenir Book" w:cs="Times New Roman"/>
          <w:sz w:val="22"/>
          <w:szCs w:val="22"/>
        </w:rPr>
        <w:t>gy</w:t>
      </w:r>
      <w:r w:rsidR="00AD1A3F">
        <w:rPr>
          <w:rFonts w:ascii="Avenir Book" w:hAnsi="Avenir Book" w:cs="Times New Roman"/>
          <w:sz w:val="22"/>
          <w:szCs w:val="22"/>
        </w:rPr>
        <w:t>, Mold-Specific Quantitative Polymerase Chain Reaction (</w:t>
      </w:r>
      <w:r w:rsidR="00E25F5E">
        <w:rPr>
          <w:rFonts w:ascii="Avenir Book" w:hAnsi="Avenir Book" w:cs="Times New Roman"/>
          <w:sz w:val="22"/>
          <w:szCs w:val="22"/>
        </w:rPr>
        <w:t>MSQPCR</w:t>
      </w:r>
      <w:r w:rsidR="00AD1A3F">
        <w:rPr>
          <w:rFonts w:ascii="Avenir Book" w:hAnsi="Avenir Book" w:cs="Times New Roman"/>
          <w:sz w:val="22"/>
          <w:szCs w:val="22"/>
        </w:rPr>
        <w:t>), to measure DNA from approximately 1</w:t>
      </w:r>
      <w:r w:rsidR="007374B1">
        <w:rPr>
          <w:rFonts w:ascii="Avenir Book" w:hAnsi="Avenir Book" w:cs="Times New Roman"/>
          <w:sz w:val="22"/>
          <w:szCs w:val="22"/>
        </w:rPr>
        <w:t>5</w:t>
      </w:r>
      <w:r w:rsidR="00AD1A3F">
        <w:rPr>
          <w:rFonts w:ascii="Avenir Book" w:hAnsi="Avenir Book" w:cs="Times New Roman"/>
          <w:sz w:val="22"/>
          <w:szCs w:val="22"/>
        </w:rPr>
        <w:t>0</w:t>
      </w:r>
      <w:r w:rsidR="006A696A">
        <w:rPr>
          <w:rFonts w:ascii="Avenir Book" w:hAnsi="Avenir Book" w:cs="Times New Roman"/>
          <w:sz w:val="22"/>
          <w:szCs w:val="22"/>
        </w:rPr>
        <w:t xml:space="preserve"> </w:t>
      </w:r>
      <w:r w:rsidR="00644422">
        <w:rPr>
          <w:rFonts w:ascii="Avenir Book" w:hAnsi="Avenir Book" w:cs="Times New Roman"/>
          <w:sz w:val="22"/>
          <w:szCs w:val="22"/>
        </w:rPr>
        <w:t xml:space="preserve">mold </w:t>
      </w:r>
      <w:r w:rsidR="00644422" w:rsidRPr="00AB55F5">
        <w:rPr>
          <w:rFonts w:ascii="Avenir Book" w:hAnsi="Avenir Book" w:cs="Times New Roman"/>
          <w:sz w:val="22"/>
          <w:szCs w:val="22"/>
        </w:rPr>
        <w:t>species</w:t>
      </w:r>
      <w:r w:rsidRPr="00AB55F5">
        <w:rPr>
          <w:rFonts w:ascii="Avenir Book" w:hAnsi="Avenir Book" w:cs="Times New Roman"/>
          <w:sz w:val="22"/>
          <w:szCs w:val="22"/>
        </w:rPr>
        <w:t xml:space="preserve"> in settled dust, which was published in 2007. This allowed for identification of molds to the species level, regardless of whether they were viable, a feature recommended by both the </w:t>
      </w:r>
      <w:sdt>
        <w:sdtPr>
          <w:rPr>
            <w:rFonts w:ascii="Avenir Book" w:hAnsi="Avenir Book" w:cs="Times New Roman"/>
            <w:sz w:val="22"/>
            <w:szCs w:val="22"/>
          </w:rPr>
          <w:tag w:val="goog_rdk_17"/>
          <w:id w:val="-840230923"/>
        </w:sdtPr>
        <w:sdtEndPr/>
        <w:sdtContent/>
      </w:sdt>
      <w:r w:rsidRPr="00AB55F5">
        <w:rPr>
          <w:rFonts w:ascii="Avenir Book" w:hAnsi="Avenir Book" w:cs="Times New Roman"/>
          <w:sz w:val="22"/>
          <w:szCs w:val="22"/>
        </w:rPr>
        <w:t>World Health Organization</w:t>
      </w:r>
      <w:r w:rsidRPr="00AB55F5">
        <w:rPr>
          <w:rFonts w:ascii="Avenir Book" w:hAnsi="Avenir Book" w:cs="Times New Roman"/>
          <w:sz w:val="22"/>
          <w:szCs w:val="22"/>
          <w:vertAlign w:val="superscript"/>
        </w:rPr>
        <w:t>36</w:t>
      </w:r>
      <w:r w:rsidRPr="00AB55F5">
        <w:rPr>
          <w:rFonts w:ascii="Avenir Book" w:hAnsi="Avenir Book" w:cs="Times New Roman"/>
          <w:sz w:val="22"/>
          <w:szCs w:val="22"/>
        </w:rPr>
        <w:t xml:space="preserve"> and the </w:t>
      </w:r>
      <w:sdt>
        <w:sdtPr>
          <w:rPr>
            <w:rFonts w:ascii="Avenir Book" w:hAnsi="Avenir Book" w:cs="Times New Roman"/>
            <w:sz w:val="22"/>
            <w:szCs w:val="22"/>
          </w:rPr>
          <w:tag w:val="goog_rdk_18"/>
          <w:id w:val="-830079619"/>
        </w:sdtPr>
        <w:sdtEndPr/>
        <w:sdtContent/>
      </w:sdt>
      <w:r w:rsidRPr="00AB55F5">
        <w:rPr>
          <w:rFonts w:ascii="Avenir Book" w:hAnsi="Avenir Book" w:cs="Times New Roman"/>
          <w:sz w:val="22"/>
          <w:szCs w:val="22"/>
        </w:rPr>
        <w:t>Institute of Medicine</w:t>
      </w:r>
      <w:r w:rsidRPr="00AB55F5">
        <w:rPr>
          <w:rFonts w:ascii="Avenir Book" w:hAnsi="Avenir Book" w:cs="Times New Roman"/>
          <w:sz w:val="22"/>
          <w:szCs w:val="22"/>
          <w:vertAlign w:val="superscript"/>
        </w:rPr>
        <w:t>37</w:t>
      </w:r>
      <w:r w:rsidRPr="00AB55F5">
        <w:rPr>
          <w:rFonts w:ascii="Avenir Book" w:hAnsi="Avenir Book" w:cs="Times New Roman"/>
          <w:sz w:val="22"/>
          <w:szCs w:val="22"/>
        </w:rPr>
        <w:t xml:space="preserve"> urged its development. In addition, this allowed clinicians to </w:t>
      </w:r>
      <w:r w:rsidR="00BB0D25">
        <w:rPr>
          <w:rFonts w:ascii="Avenir Book" w:hAnsi="Avenir Book" w:cs="Times New Roman"/>
          <w:sz w:val="22"/>
          <w:szCs w:val="22"/>
        </w:rPr>
        <w:t xml:space="preserve">identify otherwise </w:t>
      </w:r>
      <w:r w:rsidR="00BB0D25">
        <w:rPr>
          <w:rFonts w:ascii="Avenir Book" w:hAnsi="Avenir Book" w:cs="Times New Roman"/>
          <w:sz w:val="22"/>
          <w:szCs w:val="22"/>
        </w:rPr>
        <w:t>viable/non-viable or fragmented mo</w:t>
      </w:r>
      <w:r w:rsidRPr="00AB55F5">
        <w:rPr>
          <w:rFonts w:ascii="Avenir Book" w:hAnsi="Avenir Book" w:cs="Times New Roman"/>
          <w:sz w:val="22"/>
          <w:szCs w:val="22"/>
        </w:rPr>
        <w:t>ld species (containing related DNA) that may create their unique biotoxins. With the advancements from Next-Generation-Sequencing (NGS) and other methodologies under development, a higher resolution of analysis is becoming available to the practitioner.</w:t>
      </w:r>
    </w:p>
    <w:p w14:paraId="22ADD956" w14:textId="77777777" w:rsidR="00AB55F5" w:rsidRPr="00AB55F5" w:rsidRDefault="00AB55F5" w:rsidP="00D23693">
      <w:pPr>
        <w:jc w:val="both"/>
        <w:rPr>
          <w:rFonts w:ascii="Avenir Book" w:hAnsi="Avenir Book" w:cs="Times New Roman"/>
          <w:sz w:val="22"/>
          <w:szCs w:val="22"/>
        </w:rPr>
      </w:pPr>
    </w:p>
    <w:p w14:paraId="4E492493" w14:textId="6D87150D" w:rsidR="00A36B72" w:rsidRDefault="00644422" w:rsidP="00D23693">
      <w:pPr>
        <w:jc w:val="both"/>
        <w:rPr>
          <w:rFonts w:ascii="Avenir Book" w:hAnsi="Avenir Book" w:cs="Times New Roman"/>
          <w:sz w:val="22"/>
          <w:szCs w:val="22"/>
        </w:rPr>
      </w:pPr>
      <w:sdt>
        <w:sdtPr>
          <w:rPr>
            <w:rFonts w:ascii="Avenir Book" w:hAnsi="Avenir Book" w:cs="Times New Roman"/>
            <w:sz w:val="22"/>
            <w:szCs w:val="22"/>
          </w:rPr>
          <w:tag w:val="goog_rdk_19"/>
          <w:id w:val="-519707969"/>
        </w:sdtPr>
        <w:sdtEndPr/>
        <w:sdtContent/>
      </w:sdt>
      <w:r w:rsidR="00A36B72" w:rsidRPr="00AB55F5">
        <w:rPr>
          <w:rFonts w:ascii="Avenir Book" w:hAnsi="Avenir Book" w:cs="Times New Roman"/>
          <w:sz w:val="22"/>
          <w:szCs w:val="22"/>
        </w:rPr>
        <w:t>By 2006</w:t>
      </w:r>
      <w:r w:rsidR="006D43B6">
        <w:rPr>
          <w:rFonts w:ascii="Avenir Book" w:hAnsi="Avenir Book" w:cs="Times New Roman"/>
          <w:sz w:val="22"/>
          <w:szCs w:val="22"/>
        </w:rPr>
        <w:t>,</w:t>
      </w:r>
      <w:r w:rsidR="00A36B72" w:rsidRPr="00AB55F5">
        <w:rPr>
          <w:rFonts w:ascii="Avenir Book" w:hAnsi="Avenir Book" w:cs="Times New Roman"/>
          <w:sz w:val="22"/>
          <w:szCs w:val="22"/>
        </w:rPr>
        <w:t xml:space="preserve"> the S500 achieved American National Standards Institute status</w:t>
      </w:r>
      <w:r w:rsidR="00A36B72" w:rsidRPr="00AB55F5">
        <w:rPr>
          <w:rFonts w:ascii="Avenir Book" w:hAnsi="Avenir Book" w:cs="Times New Roman"/>
          <w:sz w:val="22"/>
          <w:szCs w:val="22"/>
          <w:vertAlign w:val="superscript"/>
        </w:rPr>
        <w:t>38</w:t>
      </w:r>
      <w:r w:rsidR="00A36B72" w:rsidRPr="00AB55F5">
        <w:rPr>
          <w:rFonts w:ascii="Avenir Book" w:hAnsi="Avenir Book" w:cs="Times New Roman"/>
          <w:sz w:val="22"/>
          <w:szCs w:val="22"/>
        </w:rPr>
        <w:t xml:space="preserve"> with the publication of ANSI/IICRC S500 (3rd Edition, 2006) Standard and Reference Guide for Professional Water Damage Restoration. The third Edition of the S520 achieved ANSI status in 2015, further affirming that remediation targets should aim to restore Condition</w:t>
      </w:r>
      <w:r w:rsidR="00A36B72" w:rsidRPr="00AB55F5">
        <w:rPr>
          <w:rFonts w:ascii="Arial" w:hAnsi="Arial" w:cs="Arial"/>
          <w:sz w:val="22"/>
          <w:szCs w:val="22"/>
        </w:rPr>
        <w:t> </w:t>
      </w:r>
      <w:r w:rsidR="00A36B72" w:rsidRPr="00AB55F5">
        <w:rPr>
          <w:rFonts w:ascii="Avenir Book" w:hAnsi="Avenir Book" w:cs="Times New Roman"/>
          <w:sz w:val="22"/>
          <w:szCs w:val="22"/>
        </w:rPr>
        <w:t>2 or 3 spaces to Condition</w:t>
      </w:r>
      <w:r w:rsidR="00A36B72" w:rsidRPr="00AB55F5">
        <w:rPr>
          <w:rFonts w:ascii="Arial" w:hAnsi="Arial" w:cs="Arial"/>
          <w:sz w:val="22"/>
          <w:szCs w:val="22"/>
        </w:rPr>
        <w:t> </w:t>
      </w:r>
      <w:r w:rsidR="00A36B72" w:rsidRPr="00AB55F5">
        <w:rPr>
          <w:rFonts w:ascii="Avenir Book" w:hAnsi="Avenir Book" w:cs="Times New Roman"/>
          <w:sz w:val="22"/>
          <w:szCs w:val="22"/>
        </w:rPr>
        <w:t>1 baseline levels. The American National Standards Institute (ANSI) plays a vital role in ensuring that industry standards, such as the IICRC S500 and S520, are developed through a rigorous, consensus-based process. ANSI accreditation affirms that a standard meets key criteria for openness, balance, due process, and public review</w:t>
      </w:r>
      <w:r w:rsidR="00A36B72" w:rsidRPr="00AB55F5">
        <w:rPr>
          <w:rFonts w:ascii="Tw Cen MT" w:hAnsi="Tw Cen MT" w:cs="Tw Cen MT"/>
          <w:sz w:val="22"/>
          <w:szCs w:val="22"/>
        </w:rPr>
        <w:t>—</w:t>
      </w:r>
      <w:r w:rsidR="00A36B72" w:rsidRPr="00AB55F5">
        <w:rPr>
          <w:rFonts w:ascii="Avenir Book" w:hAnsi="Avenir Book" w:cs="Times New Roman"/>
          <w:sz w:val="22"/>
          <w:szCs w:val="22"/>
        </w:rPr>
        <w:t xml:space="preserve">elevating its credibility and acceptance. The ANSI/IICRC S520 defines the minimum standard of care but also includes best practices through its use of the word </w:t>
      </w:r>
      <w:r w:rsidR="00A36B72" w:rsidRPr="00AB55F5">
        <w:rPr>
          <w:rFonts w:ascii="Avenir Book" w:hAnsi="Avenir Book" w:cs="Times New Roman"/>
          <w:i/>
          <w:sz w:val="22"/>
          <w:szCs w:val="22"/>
        </w:rPr>
        <w:t>recommended</w:t>
      </w:r>
      <w:r w:rsidR="00A36B72" w:rsidRPr="00AB55F5">
        <w:rPr>
          <w:rFonts w:ascii="Avenir Book" w:hAnsi="Avenir Book" w:cs="Times New Roman"/>
          <w:sz w:val="22"/>
          <w:szCs w:val="22"/>
        </w:rPr>
        <w:t>, providing a framework for the more rigorous demands of medically important remediation.</w:t>
      </w:r>
    </w:p>
    <w:p w14:paraId="0B1F93B6" w14:textId="77777777" w:rsidR="00AB55F5" w:rsidRPr="00AB55F5" w:rsidRDefault="00AB55F5" w:rsidP="00D23693">
      <w:pPr>
        <w:jc w:val="both"/>
        <w:rPr>
          <w:rFonts w:ascii="Avenir Book" w:hAnsi="Avenir Book" w:cs="Times New Roman"/>
          <w:sz w:val="22"/>
          <w:szCs w:val="22"/>
        </w:rPr>
      </w:pPr>
    </w:p>
    <w:p w14:paraId="670CF431" w14:textId="2B7738E8" w:rsidR="00A36B72" w:rsidRDefault="00644422" w:rsidP="00D23693">
      <w:pPr>
        <w:jc w:val="both"/>
        <w:rPr>
          <w:rFonts w:ascii="Avenir Book" w:hAnsi="Avenir Book" w:cs="Times New Roman"/>
          <w:sz w:val="22"/>
          <w:szCs w:val="22"/>
        </w:rPr>
      </w:pPr>
      <w:sdt>
        <w:sdtPr>
          <w:rPr>
            <w:rFonts w:ascii="Avenir Book" w:hAnsi="Avenir Book" w:cs="Times New Roman"/>
            <w:sz w:val="22"/>
            <w:szCs w:val="22"/>
          </w:rPr>
          <w:tag w:val="goog_rdk_20"/>
          <w:id w:val="-1384547347"/>
        </w:sdtPr>
        <w:sdtEndPr/>
        <w:sdtContent/>
      </w:sdt>
      <w:r w:rsidR="00A36B72" w:rsidRPr="00AB55F5">
        <w:rPr>
          <w:rFonts w:ascii="Avenir Book" w:hAnsi="Avenir Book" w:cs="Times New Roman"/>
          <w:sz w:val="22"/>
          <w:szCs w:val="22"/>
        </w:rPr>
        <w:t>In 2008, the US Government Accountability Office (GAO) recog</w:t>
      </w:r>
      <w:r w:rsidR="00BC63BC">
        <w:rPr>
          <w:rFonts w:ascii="Avenir Book" w:hAnsi="Avenir Book" w:cs="Times New Roman"/>
          <w:sz w:val="22"/>
          <w:szCs w:val="22"/>
        </w:rPr>
        <w:t>nized</w:t>
      </w:r>
      <w:r w:rsidR="00335870">
        <w:rPr>
          <w:rFonts w:ascii="Avenir Book" w:hAnsi="Avenir Book" w:cs="Times New Roman"/>
          <w:sz w:val="22"/>
          <w:szCs w:val="22"/>
        </w:rPr>
        <w:t xml:space="preserve"> indoor</w:t>
      </w:r>
      <w:r w:rsidR="006A696A">
        <w:rPr>
          <w:rFonts w:ascii="Avenir Book" w:hAnsi="Avenir Book" w:cs="Times New Roman"/>
          <w:sz w:val="22"/>
          <w:szCs w:val="22"/>
        </w:rPr>
        <w:t xml:space="preserve"> </w:t>
      </w:r>
      <w:r>
        <w:rPr>
          <w:rFonts w:ascii="Avenir Book" w:hAnsi="Avenir Book" w:cs="Times New Roman"/>
          <w:sz w:val="22"/>
          <w:szCs w:val="22"/>
        </w:rPr>
        <w:t>mold as</w:t>
      </w:r>
      <w:r w:rsidR="00335870">
        <w:rPr>
          <w:rFonts w:ascii="Avenir Book" w:hAnsi="Avenir Book" w:cs="Times New Roman"/>
          <w:sz w:val="22"/>
          <w:szCs w:val="22"/>
        </w:rPr>
        <w:t xml:space="preserve"> a significant health concern, urging better federal coordination and consistent public guidance</w:t>
      </w:r>
      <w:r w:rsidR="00A36B72" w:rsidRPr="00AB55F5">
        <w:rPr>
          <w:rFonts w:ascii="Avenir Book" w:hAnsi="Avenir Book" w:cs="Times New Roman"/>
          <w:sz w:val="22"/>
          <w:szCs w:val="22"/>
        </w:rPr>
        <w:t>. The GAO identified several health outcomes associated with mold exposure, including respiratory effects and exacerbation of asthma</w:t>
      </w:r>
      <w:r w:rsidR="006D43B6">
        <w:rPr>
          <w:rFonts w:ascii="Avenir Book" w:hAnsi="Avenir Book" w:cs="Times New Roman"/>
          <w:sz w:val="22"/>
          <w:szCs w:val="22"/>
        </w:rPr>
        <w:t>. However,</w:t>
      </w:r>
      <w:r w:rsidR="00A36B72" w:rsidRPr="00AB55F5">
        <w:rPr>
          <w:rFonts w:ascii="Avenir Book" w:hAnsi="Avenir Book" w:cs="Times New Roman"/>
          <w:sz w:val="22"/>
          <w:szCs w:val="22"/>
        </w:rPr>
        <w:t xml:space="preserve"> it noted the need for further research into other potential severe effects</w:t>
      </w:r>
      <w:r w:rsidR="006D43B6">
        <w:rPr>
          <w:rFonts w:ascii="Avenir Book" w:hAnsi="Avenir Book" w:cs="Times New Roman"/>
          <w:sz w:val="22"/>
          <w:szCs w:val="22"/>
        </w:rPr>
        <w:t>,</w:t>
      </w:r>
      <w:r w:rsidR="00A36B72" w:rsidRPr="00AB55F5">
        <w:rPr>
          <w:rFonts w:ascii="Avenir Book" w:hAnsi="Avenir Book" w:cs="Times New Roman"/>
          <w:sz w:val="22"/>
          <w:szCs w:val="22"/>
        </w:rPr>
        <w:t xml:space="preserve"> such as pulmonary hemorrhage in infants and immune suppression caused by mold-produced toxins.</w:t>
      </w:r>
    </w:p>
    <w:p w14:paraId="3EE4500B" w14:textId="77777777" w:rsidR="00AB55F5" w:rsidRPr="00AB55F5" w:rsidRDefault="00AB55F5" w:rsidP="00D23693">
      <w:pPr>
        <w:jc w:val="both"/>
        <w:rPr>
          <w:rFonts w:ascii="Avenir Book" w:hAnsi="Avenir Book" w:cs="Times New Roman"/>
          <w:sz w:val="22"/>
          <w:szCs w:val="22"/>
        </w:rPr>
      </w:pPr>
    </w:p>
    <w:p w14:paraId="7700DF01" w14:textId="3A12EC25" w:rsidR="00A36B72" w:rsidRPr="00AB55F5"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The landmark 2009 World Health Organization (WHO) guidelines on indoor air quality (dampness and mold) reinforced the scientific evidence linking dampness, microbial growth, and adverse health outcomes, primarily respiratory symptoms, asthma exacerbation, allergies, and immunological disturbances. </w:t>
      </w:r>
    </w:p>
    <w:p w14:paraId="77781615" w14:textId="77777777" w:rsidR="00A36B72" w:rsidRPr="00AB55F5" w:rsidRDefault="00A36B72" w:rsidP="00D23693">
      <w:pPr>
        <w:jc w:val="both"/>
        <w:rPr>
          <w:rFonts w:ascii="Avenir Book" w:hAnsi="Avenir Book" w:cs="Times New Roman"/>
          <w:sz w:val="22"/>
          <w:szCs w:val="22"/>
        </w:rPr>
      </w:pPr>
    </w:p>
    <w:p w14:paraId="54F4130C" w14:textId="0E743BB5"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Expanding the clinical perspective, the Chronic Inflammatory Response Syndrome (CIRS) framework, extensively identified and defined by Dr. Ritchie Shoemaker, underscores how water-damaged buildings (WDBs) specifically contribute to systemic inflammatory conditions. According to the </w:t>
      </w:r>
      <w:sdt>
        <w:sdtPr>
          <w:rPr>
            <w:rFonts w:ascii="Avenir Book" w:hAnsi="Avenir Book" w:cs="Times New Roman"/>
            <w:sz w:val="22"/>
            <w:szCs w:val="22"/>
          </w:rPr>
          <w:tag w:val="goog_rdk_22"/>
          <w:id w:val="-443554573"/>
        </w:sdtPr>
        <w:sdtEndPr/>
        <w:sdtContent/>
      </w:sdt>
      <w:r w:rsidRPr="00AB55F5">
        <w:rPr>
          <w:rFonts w:ascii="Avenir Book" w:hAnsi="Avenir Book" w:cs="Times New Roman"/>
          <w:sz w:val="22"/>
          <w:szCs w:val="22"/>
        </w:rPr>
        <w:t>2018 consensus statement</w:t>
      </w:r>
      <w:r w:rsidRPr="00AB55F5">
        <w:rPr>
          <w:rFonts w:ascii="Avenir Book" w:hAnsi="Avenir Book" w:cs="Times New Roman"/>
          <w:sz w:val="22"/>
          <w:szCs w:val="22"/>
          <w:vertAlign w:val="superscript"/>
        </w:rPr>
        <w:t>40</w:t>
      </w:r>
      <w:r w:rsidRPr="00AB55F5">
        <w:rPr>
          <w:rFonts w:ascii="Avenir Book" w:hAnsi="Avenir Book" w:cs="Times New Roman"/>
          <w:sz w:val="22"/>
          <w:szCs w:val="22"/>
        </w:rPr>
        <w:t>, WDBs become harmful ecosystems when biotoxins and inflammagens, produced by molds and bacteria such as endotoxins and actinomycetes, interact with genetically susceptible individuals. The resultant inflammatory response involves complex immunology, coupled with deficiencies in regulatory neuropeptides. This response characteristically leads to a multisystem, multi-symptom illness</w:t>
      </w:r>
      <w:r w:rsidR="00587CEF">
        <w:rPr>
          <w:rFonts w:ascii="Avenir Book" w:hAnsi="Avenir Book" w:cs="Times New Roman"/>
          <w:sz w:val="22"/>
          <w:szCs w:val="22"/>
          <w:lang w:val="en-US"/>
        </w:rPr>
        <w:t xml:space="preserve">, </w:t>
      </w:r>
      <w:r w:rsidRPr="00AB55F5">
        <w:rPr>
          <w:rFonts w:ascii="Avenir Book" w:hAnsi="Avenir Book" w:cs="Times New Roman"/>
          <w:sz w:val="22"/>
          <w:szCs w:val="22"/>
        </w:rPr>
        <w:t>often unrecognized by conventional medical assessment.</w:t>
      </w:r>
    </w:p>
    <w:p w14:paraId="2DBEE125" w14:textId="77777777" w:rsidR="00AB55F5" w:rsidRPr="00AB55F5" w:rsidRDefault="00AB55F5" w:rsidP="00D23693">
      <w:pPr>
        <w:jc w:val="both"/>
        <w:rPr>
          <w:rFonts w:ascii="Avenir Book" w:hAnsi="Avenir Book" w:cs="Times New Roman"/>
          <w:sz w:val="22"/>
          <w:szCs w:val="22"/>
        </w:rPr>
      </w:pPr>
    </w:p>
    <w:p w14:paraId="328B9119" w14:textId="0528C2D0" w:rsidR="00A36B72" w:rsidRDefault="00644422" w:rsidP="00D23693">
      <w:pPr>
        <w:jc w:val="both"/>
        <w:rPr>
          <w:rFonts w:ascii="Avenir Book" w:hAnsi="Avenir Book" w:cs="Times New Roman"/>
          <w:sz w:val="22"/>
          <w:szCs w:val="22"/>
        </w:rPr>
      </w:pPr>
      <w:sdt>
        <w:sdtPr>
          <w:rPr>
            <w:rFonts w:ascii="Avenir Book" w:hAnsi="Avenir Book" w:cs="Times New Roman"/>
            <w:sz w:val="22"/>
            <w:szCs w:val="22"/>
          </w:rPr>
          <w:tag w:val="goog_rdk_23"/>
          <w:id w:val="1360665662"/>
        </w:sdtPr>
        <w:sdtEndPr/>
        <w:sdtContent/>
      </w:sdt>
      <w:r w:rsidR="00A36B72" w:rsidRPr="00AB55F5">
        <w:rPr>
          <w:rFonts w:ascii="Avenir Book" w:hAnsi="Avenir Book" w:cs="Times New Roman"/>
          <w:sz w:val="22"/>
          <w:szCs w:val="22"/>
        </w:rPr>
        <w:t xml:space="preserve">Building on </w:t>
      </w:r>
      <w:r w:rsidR="00E25F5E">
        <w:rPr>
          <w:rFonts w:ascii="Avenir Book" w:hAnsi="Avenir Book" w:cs="Times New Roman"/>
          <w:sz w:val="22"/>
          <w:szCs w:val="22"/>
        </w:rPr>
        <w:t>MSQPCR</w:t>
      </w:r>
      <w:r w:rsidR="00A36B72" w:rsidRPr="00AB55F5">
        <w:rPr>
          <w:rFonts w:ascii="Avenir Book" w:hAnsi="Avenir Book" w:cs="Times New Roman"/>
          <w:sz w:val="22"/>
          <w:szCs w:val="22"/>
        </w:rPr>
        <w:t>, in 2016</w:t>
      </w:r>
      <w:r w:rsidR="009925C0">
        <w:rPr>
          <w:rFonts w:ascii="Avenir Book" w:hAnsi="Avenir Book" w:cs="Times New Roman"/>
          <w:sz w:val="22"/>
          <w:szCs w:val="22"/>
        </w:rPr>
        <w:t>,</w:t>
      </w:r>
      <w:r w:rsidR="00A36B72" w:rsidRPr="00AB55F5">
        <w:rPr>
          <w:rFonts w:ascii="Avenir Book" w:hAnsi="Avenir Book" w:cs="Times New Roman"/>
          <w:sz w:val="22"/>
          <w:szCs w:val="22"/>
        </w:rPr>
        <w:t xml:space="preserve"> Dr. Shoemaker, along with David La</w:t>
      </w:r>
      <w:r w:rsidR="00FF4D78">
        <w:rPr>
          <w:rFonts w:ascii="Avenir Book" w:hAnsi="Avenir Book" w:cs="Times New Roman"/>
          <w:sz w:val="22"/>
          <w:szCs w:val="22"/>
          <w:lang w:val="en-US"/>
        </w:rPr>
        <w:t>rk</w:t>
      </w:r>
      <w:r w:rsidR="006D43B6">
        <w:rPr>
          <w:rFonts w:ascii="Avenir Book" w:hAnsi="Avenir Book" w:cs="Times New Roman"/>
          <w:sz w:val="22"/>
          <w:szCs w:val="22"/>
        </w:rPr>
        <w:t>, developed and published the HERTSMI-2 scoring system</w:t>
      </w:r>
      <w:r w:rsidR="006D43B6" w:rsidRPr="00BC63BC">
        <w:rPr>
          <w:rFonts w:ascii="Avenir Book" w:hAnsi="Avenir Book" w:cs="Times New Roman"/>
          <w:sz w:val="22"/>
          <w:szCs w:val="22"/>
          <w:vertAlign w:val="superscript"/>
        </w:rPr>
        <w:t>41</w:t>
      </w:r>
      <w:r w:rsidR="006D43B6">
        <w:rPr>
          <w:rFonts w:ascii="Avenir Book" w:hAnsi="Avenir Book" w:cs="Times New Roman"/>
          <w:sz w:val="22"/>
          <w:szCs w:val="22"/>
        </w:rPr>
        <w:t>, using five selected</w:t>
      </w:r>
      <w:r w:rsidR="006A696A">
        <w:rPr>
          <w:rFonts w:ascii="Avenir Book" w:hAnsi="Avenir Book" w:cs="Times New Roman"/>
          <w:sz w:val="22"/>
          <w:szCs w:val="22"/>
        </w:rPr>
        <w:t xml:space="preserve"> </w:t>
      </w:r>
      <w:r>
        <w:rPr>
          <w:rFonts w:ascii="Avenir Book" w:hAnsi="Avenir Book" w:cs="Times New Roman"/>
          <w:sz w:val="22"/>
          <w:szCs w:val="22"/>
        </w:rPr>
        <w:t>mold species</w:t>
      </w:r>
      <w:r w:rsidR="006D43B6">
        <w:rPr>
          <w:rFonts w:ascii="Avenir Book" w:hAnsi="Avenir Book" w:cs="Times New Roman"/>
          <w:sz w:val="22"/>
          <w:szCs w:val="22"/>
        </w:rPr>
        <w:t xml:space="preserve"> from the Group 1 list (Water Damage indicator</w:t>
      </w:r>
      <w:r w:rsidR="006A696A">
        <w:rPr>
          <w:rFonts w:ascii="Avenir Book" w:hAnsi="Avenir Book" w:cs="Times New Roman"/>
          <w:sz w:val="22"/>
          <w:szCs w:val="22"/>
        </w:rPr>
        <w:t xml:space="preserve"> </w:t>
      </w:r>
      <w:r>
        <w:rPr>
          <w:rFonts w:ascii="Avenir Book" w:hAnsi="Avenir Book" w:cs="Times New Roman"/>
          <w:sz w:val="22"/>
          <w:szCs w:val="22"/>
        </w:rPr>
        <w:t xml:space="preserve">mold </w:t>
      </w:r>
      <w:r w:rsidRPr="00AB55F5">
        <w:rPr>
          <w:rFonts w:ascii="Avenir Book" w:hAnsi="Avenir Book" w:cs="Times New Roman"/>
          <w:sz w:val="22"/>
          <w:szCs w:val="22"/>
        </w:rPr>
        <w:t>species</w:t>
      </w:r>
      <w:r w:rsidR="00A36B72" w:rsidRPr="00AB55F5">
        <w:rPr>
          <w:rFonts w:ascii="Avenir Book" w:hAnsi="Avenir Book" w:cs="Times New Roman"/>
          <w:sz w:val="22"/>
          <w:szCs w:val="22"/>
        </w:rPr>
        <w:t xml:space="preserve">) </w:t>
      </w:r>
      <w:r w:rsidR="00C47446">
        <w:rPr>
          <w:rFonts w:ascii="Avenir Book" w:hAnsi="Avenir Book" w:cs="Times New Roman"/>
          <w:sz w:val="22"/>
          <w:szCs w:val="22"/>
        </w:rPr>
        <w:t>from</w:t>
      </w:r>
      <w:r w:rsidR="00A36B72" w:rsidRPr="00AB55F5">
        <w:rPr>
          <w:rFonts w:ascii="Avenir Book" w:hAnsi="Avenir Book" w:cs="Times New Roman"/>
          <w:sz w:val="22"/>
          <w:szCs w:val="22"/>
        </w:rPr>
        <w:t xml:space="preserve"> the ERMI panel, associated with adverse health outcomes </w:t>
      </w:r>
      <w:r w:rsidR="00A36B72" w:rsidRPr="00AB55F5">
        <w:rPr>
          <w:rFonts w:ascii="Avenir Book" w:hAnsi="Avenir Book" w:cs="Times New Roman"/>
          <w:sz w:val="22"/>
          <w:szCs w:val="22"/>
        </w:rPr>
        <w:lastRenderedPageBreak/>
        <w:t xml:space="preserve">in CIRS patients. Its clinical relevance was </w:t>
      </w:r>
      <w:r w:rsidR="00D95F10">
        <w:rPr>
          <w:rFonts w:ascii="Avenir Book" w:hAnsi="Avenir Book" w:cs="Times New Roman"/>
          <w:sz w:val="22"/>
          <w:szCs w:val="22"/>
        </w:rPr>
        <w:t>co</w:t>
      </w:r>
      <w:r w:rsidR="00CA7E15">
        <w:rPr>
          <w:rFonts w:ascii="Avenir Book" w:hAnsi="Avenir Book" w:cs="Times New Roman"/>
          <w:sz w:val="22"/>
          <w:szCs w:val="22"/>
        </w:rPr>
        <w:t>r</w:t>
      </w:r>
      <w:r w:rsidR="00D95F10">
        <w:rPr>
          <w:rFonts w:ascii="Avenir Book" w:hAnsi="Avenir Book" w:cs="Times New Roman"/>
          <w:sz w:val="22"/>
          <w:szCs w:val="22"/>
        </w:rPr>
        <w:t xml:space="preserve">related to CIRS biomarkers </w:t>
      </w:r>
      <w:r w:rsidR="00A36B72" w:rsidRPr="00AB55F5">
        <w:rPr>
          <w:rFonts w:ascii="Avenir Book" w:hAnsi="Avenir Book" w:cs="Times New Roman"/>
          <w:sz w:val="22"/>
          <w:szCs w:val="22"/>
        </w:rPr>
        <w:t xml:space="preserve">in </w:t>
      </w:r>
      <w:r w:rsidR="00D95F10">
        <w:rPr>
          <w:rFonts w:ascii="Avenir Book" w:hAnsi="Avenir Book" w:cs="Times New Roman"/>
          <w:sz w:val="22"/>
          <w:szCs w:val="22"/>
        </w:rPr>
        <w:t xml:space="preserve">a </w:t>
      </w:r>
      <w:r w:rsidR="00A36B72" w:rsidRPr="00AB55F5">
        <w:rPr>
          <w:rFonts w:ascii="Avenir Book" w:hAnsi="Avenir Book" w:cs="Times New Roman"/>
          <w:sz w:val="22"/>
          <w:szCs w:val="22"/>
        </w:rPr>
        <w:t>stud</w:t>
      </w:r>
      <w:r w:rsidR="00D95F10">
        <w:rPr>
          <w:rFonts w:ascii="Avenir Book" w:hAnsi="Avenir Book" w:cs="Times New Roman"/>
          <w:sz w:val="22"/>
          <w:szCs w:val="22"/>
        </w:rPr>
        <w:t>y</w:t>
      </w:r>
      <w:r w:rsidR="00A36B72" w:rsidRPr="00AB55F5">
        <w:rPr>
          <w:rFonts w:ascii="Avenir Book" w:hAnsi="Avenir Book" w:cs="Times New Roman"/>
          <w:sz w:val="22"/>
          <w:szCs w:val="22"/>
        </w:rPr>
        <w:t xml:space="preserve"> involving over</w:t>
      </w:r>
      <w:r w:rsidR="00B312C0">
        <w:rPr>
          <w:rFonts w:ascii="Avenir Book" w:hAnsi="Avenir Book" w:cs="Times New Roman"/>
          <w:sz w:val="22"/>
          <w:szCs w:val="22"/>
        </w:rPr>
        <w:t xml:space="preserve"> </w:t>
      </w:r>
      <w:r w:rsidR="00CC7987">
        <w:rPr>
          <w:rFonts w:ascii="Avenir Book" w:hAnsi="Avenir Book" w:cs="Times New Roman"/>
          <w:sz w:val="22"/>
          <w:szCs w:val="22"/>
        </w:rPr>
        <w:t>80</w:t>
      </w:r>
      <w:r w:rsidR="00A36B72" w:rsidRPr="00AB55F5">
        <w:rPr>
          <w:rFonts w:ascii="Avenir Book" w:hAnsi="Avenir Book" w:cs="Times New Roman"/>
          <w:sz w:val="22"/>
          <w:szCs w:val="22"/>
        </w:rPr>
        <w:t xml:space="preserve"> patients.</w:t>
      </w:r>
    </w:p>
    <w:p w14:paraId="5E955A4C" w14:textId="77777777" w:rsidR="00AB55F5" w:rsidRPr="00AB55F5" w:rsidRDefault="00AB55F5" w:rsidP="00D23693">
      <w:pPr>
        <w:jc w:val="both"/>
        <w:rPr>
          <w:rFonts w:ascii="Avenir Book" w:hAnsi="Avenir Book" w:cs="Times New Roman"/>
          <w:sz w:val="22"/>
          <w:szCs w:val="22"/>
        </w:rPr>
      </w:pPr>
    </w:p>
    <w:p w14:paraId="2F4A287A" w14:textId="77777777"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Together, these developments reveal a deeper truth: the built environment is not merely a passive backdrop to our lives. It is a living ecosystem—one that can nurture health or undermine it, especially for those who are most vulnerable. Our challenge is to recognize and treat it accordingly.</w:t>
      </w:r>
    </w:p>
    <w:p w14:paraId="3A4DCDD4" w14:textId="77777777" w:rsidR="00AB55F5" w:rsidRPr="00AB55F5" w:rsidRDefault="00AB55F5" w:rsidP="00D23693">
      <w:pPr>
        <w:jc w:val="both"/>
        <w:rPr>
          <w:rFonts w:ascii="Avenir Book" w:hAnsi="Avenir Book" w:cs="Times New Roman"/>
          <w:sz w:val="22"/>
          <w:szCs w:val="22"/>
        </w:rPr>
      </w:pPr>
    </w:p>
    <w:p w14:paraId="4AFF933B" w14:textId="77777777" w:rsidR="00A36B72" w:rsidRPr="002E7129" w:rsidRDefault="00A36B72" w:rsidP="00D23693">
      <w:pPr>
        <w:jc w:val="both"/>
        <w:rPr>
          <w:rFonts w:ascii="Avenir Book" w:hAnsi="Avenir Book" w:cs="Times New Roman"/>
          <w:b/>
          <w:bCs/>
          <w:color w:val="11639F"/>
          <w:sz w:val="28"/>
          <w:szCs w:val="32"/>
        </w:rPr>
      </w:pPr>
      <w:r w:rsidRPr="002E7129">
        <w:rPr>
          <w:rFonts w:ascii="Avenir Book" w:hAnsi="Avenir Book" w:cs="Times New Roman"/>
          <w:b/>
          <w:bCs/>
          <w:color w:val="11639F"/>
          <w:sz w:val="28"/>
          <w:szCs w:val="32"/>
        </w:rPr>
        <w:t>The Built Environment as a Dangerous Microbial Ecosystem (Biological Focus)</w:t>
      </w:r>
    </w:p>
    <w:p w14:paraId="5ADD5B3D" w14:textId="77777777" w:rsidR="00623AA7" w:rsidRDefault="00A36B72" w:rsidP="00D23693">
      <w:pPr>
        <w:jc w:val="both"/>
        <w:rPr>
          <w:rFonts w:ascii="Avenir Book" w:hAnsi="Avenir Book" w:cs="Times New Roman"/>
          <w:sz w:val="22"/>
          <w:szCs w:val="22"/>
        </w:rPr>
      </w:pPr>
      <w:r w:rsidRPr="00AB55F5">
        <w:rPr>
          <w:rFonts w:ascii="Avenir Book" w:hAnsi="Avenir Book" w:cs="Times New Roman"/>
          <w:sz w:val="22"/>
          <w:szCs w:val="22"/>
        </w:rPr>
        <w:t>The built environment, especially when compromised by water damage, becomes a complex microbial ecosystem. The proliferation of diverse fungal and bacterial species creates an indoor biome (envirobiome) that can significantly impact human health, particularly in genetically or immunologically susceptible individuals. In such environments, microbial succession, interspecies interactions, and bioaerosol dispersal mimic natural ecological processes, but with elevated human exposure risks due to confinement and chronicity.</w:t>
      </w:r>
    </w:p>
    <w:p w14:paraId="5E970C39" w14:textId="77777777" w:rsidR="00623AA7" w:rsidRDefault="00623AA7" w:rsidP="00D23693">
      <w:pPr>
        <w:jc w:val="both"/>
        <w:rPr>
          <w:rFonts w:ascii="Avenir Book" w:hAnsi="Avenir Book" w:cs="Times New Roman"/>
          <w:sz w:val="22"/>
          <w:szCs w:val="22"/>
        </w:rPr>
      </w:pPr>
    </w:p>
    <w:p w14:paraId="5D9B7B88" w14:textId="77777777" w:rsidR="00623AA7" w:rsidRDefault="00A36B72" w:rsidP="00D23693">
      <w:pPr>
        <w:jc w:val="both"/>
        <w:rPr>
          <w:rFonts w:ascii="Avenir Book" w:hAnsi="Avenir Book" w:cs="Times New Roman"/>
          <w:sz w:val="22"/>
          <w:szCs w:val="22"/>
        </w:rPr>
      </w:pPr>
      <w:r w:rsidRPr="00AB55F5">
        <w:rPr>
          <w:rFonts w:ascii="Avenir Book" w:hAnsi="Avenir Book" w:cs="Times New Roman"/>
          <w:sz w:val="22"/>
          <w:szCs w:val="22"/>
        </w:rPr>
        <w:t>Unlike outdoor environments where microbial diversity can often confer resilience and balance, WDBs exhibit a shift towards pathogenic or opportunistic organisms, with diminished protective diversity. The convergence of microbial amplification, decaying building materials, and disturbed ventilation systems exacerbates occupant exposure.</w:t>
      </w:r>
    </w:p>
    <w:p w14:paraId="752EA923" w14:textId="77777777" w:rsidR="00623AA7" w:rsidRDefault="00623AA7" w:rsidP="00D23693">
      <w:pPr>
        <w:jc w:val="both"/>
        <w:rPr>
          <w:rFonts w:ascii="Avenir Book" w:hAnsi="Avenir Book" w:cs="Times New Roman"/>
          <w:sz w:val="22"/>
          <w:szCs w:val="22"/>
        </w:rPr>
      </w:pPr>
    </w:p>
    <w:p w14:paraId="44AEB85B" w14:textId="30DEFA22" w:rsidR="00A36B72" w:rsidRPr="00AB55F5" w:rsidRDefault="00A36B72" w:rsidP="00D23693">
      <w:pPr>
        <w:jc w:val="both"/>
        <w:rPr>
          <w:rFonts w:ascii="Avenir Book" w:hAnsi="Avenir Book" w:cs="Times New Roman"/>
          <w:sz w:val="22"/>
          <w:szCs w:val="22"/>
        </w:rPr>
      </w:pPr>
      <w:r w:rsidRPr="00AB55F5">
        <w:rPr>
          <w:rFonts w:ascii="Avenir Book" w:hAnsi="Avenir Book" w:cs="Times New Roman"/>
          <w:sz w:val="22"/>
          <w:szCs w:val="22"/>
        </w:rPr>
        <w:t>Biophilic design and ecological awareness in architecture are emerging counterpoints to this trend. Yet without rigorous moisture control, adequate remediation, and awareness of microbial dynamics, the built environment continues to present a significant but often invisible threat to health.</w:t>
      </w:r>
    </w:p>
    <w:p w14:paraId="7DE34A41" w14:textId="77777777" w:rsidR="00A36B72" w:rsidRPr="00AB55F5" w:rsidRDefault="00A36B72" w:rsidP="00D23693">
      <w:pPr>
        <w:jc w:val="both"/>
        <w:rPr>
          <w:rFonts w:ascii="Avenir Book" w:hAnsi="Avenir Book" w:cs="Times New Roman"/>
          <w:sz w:val="22"/>
          <w:szCs w:val="22"/>
        </w:rPr>
      </w:pPr>
    </w:p>
    <w:p w14:paraId="13A49F98" w14:textId="2417DF41" w:rsidR="00A36B72" w:rsidRPr="002E7129" w:rsidRDefault="00A36B72" w:rsidP="00D23693">
      <w:pPr>
        <w:jc w:val="both"/>
        <w:rPr>
          <w:rFonts w:ascii="Avenir Book" w:hAnsi="Avenir Book" w:cs="Times New Roman"/>
          <w:b/>
          <w:color w:val="11639F"/>
          <w:sz w:val="28"/>
          <w:szCs w:val="32"/>
        </w:rPr>
      </w:pPr>
      <w:r w:rsidRPr="002E7129">
        <w:rPr>
          <w:rFonts w:ascii="Avenir Book" w:hAnsi="Avenir Book" w:cs="Times New Roman"/>
          <w:b/>
          <w:color w:val="11639F"/>
          <w:sz w:val="28"/>
          <w:szCs w:val="32"/>
        </w:rPr>
        <w:t>Assessment of water-damaged building environment</w:t>
      </w:r>
    </w:p>
    <w:p w14:paraId="2D8B46FD" w14:textId="77777777" w:rsidR="00A36B72" w:rsidRPr="00AB55F5" w:rsidRDefault="00A36B72" w:rsidP="00D23693">
      <w:pPr>
        <w:keepNext/>
        <w:widowControl w:val="0"/>
        <w:jc w:val="both"/>
        <w:rPr>
          <w:rFonts w:ascii="Avenir Book" w:hAnsi="Avenir Book" w:cs="Times New Roman"/>
          <w:b/>
          <w:sz w:val="22"/>
          <w:szCs w:val="22"/>
        </w:rPr>
      </w:pPr>
      <w:r w:rsidRPr="00AB55F5">
        <w:rPr>
          <w:rFonts w:ascii="Avenir Book" w:hAnsi="Avenir Book" w:cs="Times New Roman"/>
          <w:b/>
          <w:sz w:val="22"/>
          <w:szCs w:val="22"/>
        </w:rPr>
        <w:t>Limitations of the Visual Inspection Model</w:t>
      </w:r>
    </w:p>
    <w:p w14:paraId="532F174C" w14:textId="650A58DE" w:rsidR="00A36B72" w:rsidRPr="00AB55F5" w:rsidRDefault="000A0D21" w:rsidP="00D23693">
      <w:pPr>
        <w:jc w:val="both"/>
        <w:rPr>
          <w:rFonts w:ascii="Avenir Book" w:hAnsi="Avenir Book" w:cs="Times New Roman"/>
          <w:i/>
          <w:sz w:val="22"/>
          <w:szCs w:val="22"/>
        </w:rPr>
      </w:pPr>
      <w:r>
        <w:rPr>
          <w:rFonts w:ascii="Avenir Book" w:hAnsi="Avenir Book" w:cs="Times New Roman"/>
          <w:i/>
          <w:sz w:val="22"/>
          <w:szCs w:val="22"/>
        </w:rPr>
        <w:t>The absence of visible</w:t>
      </w:r>
      <w:r w:rsidR="006A696A">
        <w:rPr>
          <w:rFonts w:ascii="Avenir Book" w:hAnsi="Avenir Book" w:cs="Times New Roman"/>
          <w:i/>
          <w:sz w:val="22"/>
          <w:szCs w:val="22"/>
        </w:rPr>
        <w:t xml:space="preserve"> </w:t>
      </w:r>
      <w:r w:rsidR="00644422">
        <w:rPr>
          <w:rFonts w:ascii="Avenir Book" w:hAnsi="Avenir Book" w:cs="Times New Roman"/>
          <w:i/>
          <w:sz w:val="22"/>
          <w:szCs w:val="22"/>
        </w:rPr>
        <w:t xml:space="preserve">mold </w:t>
      </w:r>
      <w:r w:rsidR="00644422" w:rsidRPr="00AB55F5">
        <w:rPr>
          <w:rFonts w:ascii="Avenir Book" w:hAnsi="Avenir Book" w:cs="Times New Roman"/>
          <w:i/>
          <w:sz w:val="22"/>
          <w:szCs w:val="22"/>
        </w:rPr>
        <w:t>growth</w:t>
      </w:r>
      <w:r w:rsidR="00A36B72" w:rsidRPr="00AB55F5">
        <w:rPr>
          <w:rFonts w:ascii="Avenir Book" w:hAnsi="Avenir Book" w:cs="Times New Roman"/>
          <w:i/>
          <w:sz w:val="22"/>
          <w:szCs w:val="22"/>
        </w:rPr>
        <w:t xml:space="preserve"> can mislead assessments.</w:t>
      </w:r>
    </w:p>
    <w:p w14:paraId="509DB213" w14:textId="77777777" w:rsidR="00A36B72" w:rsidRPr="00AB55F5" w:rsidRDefault="00A36B72" w:rsidP="00D23693">
      <w:pPr>
        <w:jc w:val="both"/>
        <w:rPr>
          <w:rFonts w:ascii="Avenir Book" w:hAnsi="Avenir Book" w:cs="Times New Roman"/>
          <w:i/>
          <w:strike/>
          <w:sz w:val="22"/>
          <w:szCs w:val="22"/>
        </w:rPr>
      </w:pPr>
    </w:p>
    <w:p w14:paraId="4CC55938" w14:textId="64BE8DB0"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The reliance on visual inspection remains one of the most persistent—and problematic—limitations in assessing water-damaged buildings. While visible mold growth is a critical and obvious</w:t>
      </w:r>
      <w:r w:rsidRPr="00AB55F5">
        <w:rPr>
          <w:rFonts w:ascii="Avenir Book" w:hAnsi="Avenir Book" w:cs="Times New Roman"/>
          <w:b/>
          <w:sz w:val="22"/>
          <w:szCs w:val="22"/>
        </w:rPr>
        <w:t xml:space="preserve"> </w:t>
      </w:r>
      <w:r w:rsidRPr="00AB55F5">
        <w:rPr>
          <w:rFonts w:ascii="Avenir Book" w:hAnsi="Avenir Book" w:cs="Times New Roman"/>
          <w:sz w:val="22"/>
          <w:szCs w:val="22"/>
        </w:rPr>
        <w:t xml:space="preserve">warning sign, it often represents only the </w:t>
      </w:r>
      <w:r w:rsidR="00644422" w:rsidRPr="00AB55F5">
        <w:rPr>
          <w:rFonts w:ascii="Avenir Book" w:hAnsi="Avenir Book" w:cs="Times New Roman"/>
          <w:sz w:val="22"/>
          <w:szCs w:val="22"/>
        </w:rPr>
        <w:t>beginning</w:t>
      </w:r>
      <w:r w:rsidRPr="00AB55F5">
        <w:rPr>
          <w:rFonts w:ascii="Avenir Book" w:hAnsi="Avenir Book" w:cs="Times New Roman"/>
          <w:sz w:val="22"/>
          <w:szCs w:val="22"/>
        </w:rPr>
        <w:t xml:space="preserve"> of contamination. Hidden fungal growth, fine particulate residues, and surface-bound microbial fragments can remain even after a building appears visually clean. For individuals suffering from conditions like </w:t>
      </w:r>
      <w:sdt>
        <w:sdtPr>
          <w:rPr>
            <w:rFonts w:ascii="Avenir Book" w:hAnsi="Avenir Book" w:cs="Times New Roman"/>
            <w:sz w:val="22"/>
            <w:szCs w:val="22"/>
          </w:rPr>
          <w:tag w:val="goog_rdk_24"/>
          <w:id w:val="1720260425"/>
        </w:sdtPr>
        <w:sdtEndPr/>
        <w:sdtContent/>
      </w:sdt>
      <w:r w:rsidRPr="00AB55F5">
        <w:rPr>
          <w:rFonts w:ascii="Avenir Book" w:hAnsi="Avenir Book" w:cs="Times New Roman"/>
          <w:sz w:val="22"/>
          <w:szCs w:val="22"/>
        </w:rPr>
        <w:t>chronic inflammatory response syndrome (CIRS)</w:t>
      </w:r>
      <w:r w:rsidRPr="00AB55F5">
        <w:rPr>
          <w:rFonts w:ascii="Avenir Book" w:hAnsi="Avenir Book" w:cs="Times New Roman"/>
          <w:sz w:val="22"/>
          <w:szCs w:val="22"/>
          <w:vertAlign w:val="superscript"/>
        </w:rPr>
        <w:t>42,43</w:t>
      </w:r>
      <w:r w:rsidRPr="00AB55F5">
        <w:rPr>
          <w:rFonts w:ascii="Avenir Book" w:hAnsi="Avenir Book" w:cs="Times New Roman"/>
          <w:sz w:val="22"/>
          <w:szCs w:val="22"/>
        </w:rPr>
        <w:t xml:space="preserve"> or environmental sensitivities, these hidden </w:t>
      </w:r>
      <w:sdt>
        <w:sdtPr>
          <w:rPr>
            <w:rFonts w:ascii="Avenir Book" w:hAnsi="Avenir Book" w:cs="Times New Roman"/>
            <w:sz w:val="22"/>
            <w:szCs w:val="22"/>
          </w:rPr>
          <w:tag w:val="goog_rdk_25"/>
          <w:id w:val="329246315"/>
        </w:sdtPr>
        <w:sdtEndPr/>
        <w:sdtContent/>
      </w:sdt>
      <w:r w:rsidRPr="00AB55F5">
        <w:rPr>
          <w:rFonts w:ascii="Avenir Book" w:hAnsi="Avenir Book" w:cs="Times New Roman"/>
          <w:sz w:val="22"/>
          <w:szCs w:val="22"/>
        </w:rPr>
        <w:t>and non-visible residues can continue to provoke symptoms long after the original moisture problem appears or has been resolved.</w:t>
      </w:r>
    </w:p>
    <w:p w14:paraId="486615F8" w14:textId="77777777" w:rsidR="002E7129" w:rsidRPr="00AB55F5" w:rsidRDefault="002E7129" w:rsidP="00D23693">
      <w:pPr>
        <w:jc w:val="both"/>
        <w:rPr>
          <w:rFonts w:ascii="Avenir Book" w:hAnsi="Avenir Book" w:cs="Times New Roman"/>
          <w:sz w:val="22"/>
          <w:szCs w:val="22"/>
        </w:rPr>
      </w:pPr>
    </w:p>
    <w:p w14:paraId="49FC9CC6" w14:textId="18526EC5" w:rsidR="00A36B72" w:rsidRDefault="00644422" w:rsidP="00D23693">
      <w:pPr>
        <w:jc w:val="both"/>
        <w:rPr>
          <w:rFonts w:ascii="Avenir Book" w:hAnsi="Avenir Book" w:cs="Times New Roman"/>
          <w:sz w:val="22"/>
          <w:szCs w:val="22"/>
        </w:rPr>
      </w:pPr>
      <w:sdt>
        <w:sdtPr>
          <w:rPr>
            <w:rFonts w:ascii="Avenir Book" w:hAnsi="Avenir Book" w:cs="Times New Roman"/>
            <w:sz w:val="22"/>
            <w:szCs w:val="22"/>
          </w:rPr>
          <w:tag w:val="goog_rdk_26"/>
          <w:id w:val="-1406498297"/>
        </w:sdtPr>
        <w:sdtEndPr/>
        <w:sdtContent/>
      </w:sdt>
      <w:r w:rsidR="00A36B72" w:rsidRPr="00AB55F5">
        <w:rPr>
          <w:rFonts w:ascii="Avenir Book" w:hAnsi="Avenir Book" w:cs="Times New Roman"/>
          <w:sz w:val="22"/>
          <w:szCs w:val="22"/>
        </w:rPr>
        <w:t>Visual inspection is further constrained by how building assemblies conceal microbial contamination. Mold often colonizes interstitial spaces—behind walls, under flooring, above ceilings, and inside HVAC components—where it is inaccessible to direct observation</w:t>
      </w:r>
      <w:r w:rsidR="00A36B72" w:rsidRPr="00AB55F5">
        <w:rPr>
          <w:rFonts w:ascii="Avenir Book" w:hAnsi="Avenir Book" w:cs="Times New Roman"/>
          <w:sz w:val="22"/>
          <w:szCs w:val="22"/>
          <w:vertAlign w:val="superscript"/>
        </w:rPr>
        <w:t>44</w:t>
      </w:r>
      <w:r w:rsidR="00A36B72" w:rsidRPr="00AB55F5">
        <w:rPr>
          <w:rFonts w:ascii="Avenir Book" w:hAnsi="Avenir Book" w:cs="Times New Roman"/>
          <w:sz w:val="22"/>
          <w:szCs w:val="22"/>
        </w:rPr>
        <w:t xml:space="preserve">. Moreover, past </w:t>
      </w:r>
      <w:r w:rsidR="00BC63BC" w:rsidRPr="00AB55F5">
        <w:rPr>
          <w:rFonts w:ascii="Avenir Book" w:hAnsi="Avenir Book" w:cs="Times New Roman"/>
          <w:sz w:val="22"/>
          <w:szCs w:val="22"/>
        </w:rPr>
        <w:t>remodelling</w:t>
      </w:r>
      <w:r w:rsidR="00A36B72" w:rsidRPr="00AB55F5">
        <w:rPr>
          <w:rFonts w:ascii="Avenir Book" w:hAnsi="Avenir Book" w:cs="Times New Roman"/>
          <w:sz w:val="22"/>
          <w:szCs w:val="22"/>
        </w:rPr>
        <w:t xml:space="preserve"> or maintenance activities may not only ignore microbial growth but also actively obscure it. For example, replacing drywall or cabinetry without assessing the wall </w:t>
      </w:r>
      <w:r w:rsidR="00A36B72" w:rsidRPr="00AB55F5">
        <w:rPr>
          <w:rFonts w:ascii="Avenir Book" w:hAnsi="Avenir Book" w:cs="Times New Roman"/>
          <w:sz w:val="22"/>
          <w:szCs w:val="22"/>
        </w:rPr>
        <w:t xml:space="preserve">cavities behind them can harbor fungal contamination, though pathways commonly exist allowing these contaminants to enter the living spaces. </w:t>
      </w:r>
      <w:sdt>
        <w:sdtPr>
          <w:rPr>
            <w:rFonts w:ascii="Avenir Book" w:hAnsi="Avenir Book" w:cs="Times New Roman"/>
            <w:sz w:val="22"/>
            <w:szCs w:val="22"/>
          </w:rPr>
          <w:tag w:val="goog_rdk_27"/>
          <w:id w:val="-170429324"/>
        </w:sdtPr>
        <w:sdtEndPr/>
        <w:sdtContent/>
      </w:sdt>
      <w:r w:rsidR="00A36B72" w:rsidRPr="00AB55F5">
        <w:rPr>
          <w:rFonts w:ascii="Avenir Book" w:hAnsi="Avenir Book" w:cs="Times New Roman"/>
          <w:sz w:val="22"/>
          <w:szCs w:val="22"/>
        </w:rPr>
        <w:t>Painting over visible stains, applying new flooring over water-damaged substrates, or encapsulating attic sheathing without addressing the root cause of growth and source of contamination can often result in additional exposure concerns that are concealed or presented as deceptively clean in appearance while, at the same time, making future investigation and remediation far more complex and often more invasive</w:t>
      </w:r>
      <w:r w:rsidR="00A36B72" w:rsidRPr="00AB55F5">
        <w:rPr>
          <w:rFonts w:ascii="Avenir Book" w:hAnsi="Avenir Book" w:cs="Times New Roman"/>
          <w:sz w:val="22"/>
          <w:szCs w:val="22"/>
          <w:vertAlign w:val="superscript"/>
        </w:rPr>
        <w:t>45</w:t>
      </w:r>
      <w:r w:rsidR="00A36B72" w:rsidRPr="00AB55F5">
        <w:rPr>
          <w:rFonts w:ascii="Avenir Book" w:hAnsi="Avenir Book" w:cs="Times New Roman"/>
          <w:sz w:val="22"/>
          <w:szCs w:val="22"/>
        </w:rPr>
        <w:t>.</w:t>
      </w:r>
    </w:p>
    <w:p w14:paraId="1867392F" w14:textId="77777777" w:rsidR="00033EEB" w:rsidRPr="00AB55F5" w:rsidRDefault="00033EEB" w:rsidP="00D23693">
      <w:pPr>
        <w:jc w:val="both"/>
        <w:rPr>
          <w:rFonts w:ascii="Avenir Book" w:hAnsi="Avenir Book" w:cs="Times New Roman"/>
          <w:sz w:val="22"/>
          <w:szCs w:val="22"/>
        </w:rPr>
      </w:pPr>
    </w:p>
    <w:p w14:paraId="7B173330" w14:textId="7F9E2492" w:rsidR="00A36B72" w:rsidRPr="00AB55F5" w:rsidRDefault="00A36B72" w:rsidP="00D23693">
      <w:pPr>
        <w:jc w:val="both"/>
        <w:rPr>
          <w:rFonts w:ascii="Avenir Book" w:hAnsi="Avenir Book" w:cs="Times New Roman"/>
          <w:sz w:val="22"/>
          <w:szCs w:val="22"/>
        </w:rPr>
      </w:pPr>
      <w:r w:rsidRPr="00AB55F5">
        <w:rPr>
          <w:rFonts w:ascii="Avenir Book" w:hAnsi="Avenir Book" w:cs="Times New Roman"/>
          <w:sz w:val="22"/>
          <w:szCs w:val="22"/>
        </w:rPr>
        <w:t>Even more concerning is the widespread tendency to equate "no visible mold" with "no mold problem." This false reassurance can delay necessary action and lead to premature assumptions that the exposure has been removed.</w:t>
      </w:r>
      <w:r w:rsidRPr="00AB55F5">
        <w:rPr>
          <w:rFonts w:ascii="Avenir Book" w:hAnsi="Avenir Book" w:cs="Times New Roman"/>
          <w:b/>
          <w:sz w:val="22"/>
          <w:szCs w:val="22"/>
        </w:rPr>
        <w:t xml:space="preserve"> </w:t>
      </w:r>
      <w:r w:rsidRPr="00AB55F5">
        <w:rPr>
          <w:rFonts w:ascii="Avenir Book" w:hAnsi="Avenir Book" w:cs="Times New Roman"/>
          <w:sz w:val="22"/>
          <w:szCs w:val="22"/>
        </w:rPr>
        <w:t>In</w:t>
      </w:r>
      <w:sdt>
        <w:sdtPr>
          <w:rPr>
            <w:rFonts w:ascii="Avenir Book" w:hAnsi="Avenir Book" w:cs="Times New Roman"/>
            <w:sz w:val="22"/>
            <w:szCs w:val="22"/>
          </w:rPr>
          <w:tag w:val="goog_rdk_28"/>
          <w:id w:val="932521075"/>
        </w:sdtPr>
        <w:sdtEndPr/>
        <w:sdtContent>
          <w:r w:rsidR="008677E9">
            <w:rPr>
              <w:rFonts w:ascii="Avenir Book" w:hAnsi="Avenir Book" w:cs="Times New Roman"/>
              <w:sz w:val="22"/>
              <w:szCs w:val="22"/>
              <w:lang w:val="en-US"/>
            </w:rPr>
            <w:t xml:space="preserve"> </w:t>
          </w:r>
        </w:sdtContent>
      </w:sdt>
      <w:r w:rsidRPr="00AB55F5">
        <w:rPr>
          <w:rFonts w:ascii="Avenir Book" w:hAnsi="Avenir Book" w:cs="Times New Roman"/>
          <w:sz w:val="22"/>
          <w:szCs w:val="22"/>
        </w:rPr>
        <w:t>medically important remediation</w:t>
      </w:r>
      <w:r w:rsidRPr="00AB55F5">
        <w:rPr>
          <w:rFonts w:ascii="Avenir Book" w:hAnsi="Avenir Book" w:cs="Times New Roman"/>
          <w:sz w:val="22"/>
          <w:szCs w:val="22"/>
          <w:vertAlign w:val="superscript"/>
        </w:rPr>
        <w:t>46</w:t>
      </w:r>
      <w:r w:rsidRPr="00AB55F5">
        <w:rPr>
          <w:rFonts w:ascii="Avenir Book" w:hAnsi="Avenir Book" w:cs="Times New Roman"/>
          <w:sz w:val="22"/>
          <w:szCs w:val="22"/>
        </w:rPr>
        <w:t xml:space="preserve"> work, where the goal is not just to remove gross contamination but to restore a healthy living environment, visual inspection is important, but only the beginning. It must be supported by a structured process that considers building history and design, materials utilized, occupant symptoms, and strategically deployed environmental sampling, analysis and interpretation.</w:t>
      </w:r>
    </w:p>
    <w:p w14:paraId="29E8951D" w14:textId="77777777" w:rsidR="00033EEB" w:rsidRPr="00126667" w:rsidRDefault="00033EEB" w:rsidP="00D23693">
      <w:pPr>
        <w:jc w:val="both"/>
        <w:rPr>
          <w:rFonts w:ascii="Avenir Book" w:hAnsi="Avenir Book" w:cs="Times New Roman"/>
          <w:sz w:val="20"/>
          <w:szCs w:val="20"/>
        </w:rPr>
      </w:pPr>
    </w:p>
    <w:p w14:paraId="4413C1C8" w14:textId="6566F29D"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To move beyond superficial evaluations, professionals must recogni</w:t>
      </w:r>
      <w:r w:rsidR="000549CF">
        <w:rPr>
          <w:rFonts w:ascii="Avenir Book" w:hAnsi="Avenir Book" w:cs="Times New Roman"/>
          <w:sz w:val="22"/>
          <w:szCs w:val="22"/>
        </w:rPr>
        <w:t>se the inherent limitations of the visual model and adopt an integrative strategy</w:t>
      </w:r>
      <w:r w:rsidR="000549CF">
        <w:rPr>
          <w:rFonts w:ascii="Avenir Book" w:hAnsi="Avenir Book" w:cs="Times New Roman" w:hint="eastAsia"/>
          <w:sz w:val="22"/>
          <w:szCs w:val="22"/>
        </w:rPr>
        <w:t>—</w:t>
      </w:r>
      <w:r w:rsidR="000549CF">
        <w:rPr>
          <w:rFonts w:ascii="Avenir Book" w:hAnsi="Avenir Book" w:cs="Times New Roman"/>
          <w:sz w:val="22"/>
          <w:szCs w:val="22"/>
        </w:rPr>
        <w:t>one that respects both the unique architectural realities and the driving forces that move moisture and hidden contamination into</w:t>
      </w:r>
      <w:r w:rsidRPr="00AB55F5">
        <w:rPr>
          <w:rFonts w:ascii="Avenir Book" w:hAnsi="Avenir Book" w:cs="Times New Roman"/>
          <w:sz w:val="22"/>
          <w:szCs w:val="22"/>
        </w:rPr>
        <w:t xml:space="preserve"> occupied spaces, and ultimately, the clinical consequences of exposure to non-visible residues.</w:t>
      </w:r>
    </w:p>
    <w:p w14:paraId="199DDDDD" w14:textId="77777777" w:rsidR="00D91A67" w:rsidRPr="00126667" w:rsidRDefault="00D91A67" w:rsidP="00D23693">
      <w:pPr>
        <w:jc w:val="both"/>
        <w:rPr>
          <w:rFonts w:ascii="Avenir Book" w:hAnsi="Avenir Book" w:cs="Times New Roman"/>
          <w:sz w:val="20"/>
          <w:szCs w:val="20"/>
        </w:rPr>
      </w:pPr>
    </w:p>
    <w:p w14:paraId="44FDED8C" w14:textId="77777777" w:rsidR="00A36B72" w:rsidRPr="00D91A67" w:rsidRDefault="00A36B72" w:rsidP="00D23693">
      <w:pPr>
        <w:jc w:val="both"/>
        <w:rPr>
          <w:rFonts w:ascii="Avenir Book" w:hAnsi="Avenir Book" w:cs="Times New Roman"/>
          <w:b/>
          <w:color w:val="11639F"/>
          <w:sz w:val="28"/>
          <w:szCs w:val="32"/>
        </w:rPr>
      </w:pPr>
      <w:r w:rsidRPr="00D91A67">
        <w:rPr>
          <w:rFonts w:ascii="Avenir Book" w:hAnsi="Avenir Book" w:cs="Times New Roman"/>
          <w:b/>
          <w:color w:val="11639F"/>
          <w:sz w:val="28"/>
          <w:szCs w:val="32"/>
        </w:rPr>
        <w:t>The Medically Important Assessment: Understanding the Building Environment</w:t>
      </w:r>
      <w:sdt>
        <w:sdtPr>
          <w:rPr>
            <w:rFonts w:ascii="Avenir Book" w:hAnsi="Avenir Book" w:cs="Times New Roman"/>
            <w:color w:val="11639F"/>
            <w:sz w:val="28"/>
            <w:szCs w:val="32"/>
          </w:rPr>
          <w:tag w:val="goog_rdk_30"/>
          <w:id w:val="1976701419"/>
        </w:sdtPr>
        <w:sdtEndPr/>
        <w:sdtContent/>
      </w:sdt>
    </w:p>
    <w:p w14:paraId="5C8EF02B" w14:textId="313D8316"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Contemporary literature and governmental reviews now converge on viewing water-damaged buildings not merely as inconvenient problems of property maintenance, but rather as substantial public health challenges. This recognition calls for improved cross-disciplinary collaboration and rigorous environmental assessment methodologies. In 2016, the Indoor Environmental Professionals Panel of Surviving Mold published a </w:t>
      </w:r>
      <w:sdt>
        <w:sdtPr>
          <w:rPr>
            <w:rFonts w:ascii="Avenir Book" w:hAnsi="Avenir Book" w:cs="Times New Roman"/>
            <w:sz w:val="22"/>
            <w:szCs w:val="22"/>
          </w:rPr>
          <w:tag w:val="goog_rdk_31"/>
          <w:id w:val="-87489743"/>
        </w:sdtPr>
        <w:sdtEndPr/>
        <w:sdtContent/>
      </w:sdt>
      <w:r w:rsidRPr="00AB55F5">
        <w:rPr>
          <w:rFonts w:ascii="Avenir Book" w:hAnsi="Avenir Book" w:cs="Times New Roman"/>
          <w:sz w:val="22"/>
          <w:szCs w:val="22"/>
        </w:rPr>
        <w:t>consensus statement</w:t>
      </w:r>
      <w:r w:rsidRPr="00AB55F5">
        <w:rPr>
          <w:rFonts w:ascii="Avenir Book" w:hAnsi="Avenir Book" w:cs="Times New Roman"/>
          <w:sz w:val="22"/>
          <w:szCs w:val="22"/>
          <w:vertAlign w:val="superscript"/>
        </w:rPr>
        <w:t>50</w:t>
      </w:r>
      <w:r w:rsidRPr="00AB55F5">
        <w:rPr>
          <w:rFonts w:ascii="Avenir Book" w:hAnsi="Avenir Book" w:cs="Times New Roman"/>
          <w:sz w:val="22"/>
          <w:szCs w:val="22"/>
        </w:rPr>
        <w:t xml:space="preserve"> regarding medically sound investigations and remediation of water-damaged buildings in cases of CIRS-WDB. More recently, the </w:t>
      </w:r>
      <w:sdt>
        <w:sdtPr>
          <w:rPr>
            <w:rFonts w:ascii="Avenir Book" w:hAnsi="Avenir Book" w:cs="Times New Roman"/>
            <w:sz w:val="22"/>
            <w:szCs w:val="22"/>
          </w:rPr>
          <w:tag w:val="goog_rdk_32"/>
          <w:id w:val="1772230542"/>
        </w:sdtPr>
        <w:sdtEndPr/>
        <w:sdtContent/>
      </w:sdt>
      <w:r w:rsidRPr="00AB55F5">
        <w:rPr>
          <w:rFonts w:ascii="Avenir Book" w:hAnsi="Avenir Book" w:cs="Times New Roman"/>
          <w:sz w:val="22"/>
          <w:szCs w:val="22"/>
        </w:rPr>
        <w:t>CIRSx Institute (</w:t>
      </w:r>
      <w:r w:rsidRPr="00AB55F5">
        <w:rPr>
          <w:rFonts w:ascii="Avenir Book" w:hAnsi="Avenir Book" w:cs="Times New Roman"/>
          <w:i/>
          <w:iCs/>
          <w:sz w:val="22"/>
          <w:szCs w:val="22"/>
          <w:lang w:val="en-US"/>
        </w:rPr>
        <w:t>https://institute.cirsx.com/</w:t>
      </w:r>
      <w:r w:rsidRPr="00AB55F5">
        <w:rPr>
          <w:rFonts w:ascii="Avenir Book" w:hAnsi="Avenir Book" w:cs="Times New Roman"/>
          <w:i/>
          <w:iCs/>
          <w:sz w:val="22"/>
          <w:szCs w:val="22"/>
        </w:rPr>
        <w:t>)</w:t>
      </w:r>
      <w:r w:rsidRPr="00AB55F5">
        <w:rPr>
          <w:rFonts w:ascii="Avenir Book" w:hAnsi="Avenir Book" w:cs="Times New Roman"/>
          <w:sz w:val="22"/>
          <w:szCs w:val="22"/>
        </w:rPr>
        <w:t xml:space="preserve"> expanded upon this advanced approach and created training for IEPs, focusing on </w:t>
      </w:r>
      <w:sdt>
        <w:sdtPr>
          <w:rPr>
            <w:rFonts w:ascii="Avenir Book" w:hAnsi="Avenir Book" w:cs="Times New Roman"/>
            <w:sz w:val="22"/>
            <w:szCs w:val="22"/>
          </w:rPr>
          <w:tag w:val="goog_rdk_33"/>
          <w:id w:val="795370910"/>
        </w:sdtPr>
        <w:sdtEndPr/>
        <w:sdtContent/>
      </w:sdt>
      <w:r w:rsidRPr="00AB55F5">
        <w:rPr>
          <w:rFonts w:ascii="Avenir Book" w:hAnsi="Avenir Book" w:cs="Times New Roman"/>
          <w:sz w:val="22"/>
          <w:szCs w:val="22"/>
        </w:rPr>
        <w:t>Medically Important Assessments</w:t>
      </w:r>
      <w:r w:rsidRPr="00AB55F5">
        <w:rPr>
          <w:rFonts w:ascii="Avenir Book" w:hAnsi="Avenir Book" w:cs="Times New Roman"/>
          <w:sz w:val="22"/>
          <w:szCs w:val="22"/>
          <w:vertAlign w:val="superscript"/>
        </w:rPr>
        <w:t>51,52</w:t>
      </w:r>
      <w:r w:rsidRPr="00AB55F5">
        <w:rPr>
          <w:rFonts w:ascii="Avenir Book" w:hAnsi="Avenir Book" w:cs="Times New Roman"/>
          <w:sz w:val="22"/>
          <w:szCs w:val="22"/>
        </w:rPr>
        <w:t xml:space="preserve">. This resulted in a greater understanding and refined treatments </w:t>
      </w:r>
      <w:r w:rsidR="000A1AB1">
        <w:rPr>
          <w:rFonts w:ascii="Avenir Book" w:hAnsi="Avenir Book" w:cs="Times New Roman"/>
          <w:sz w:val="22"/>
          <w:szCs w:val="22"/>
          <w:lang w:val="en-US"/>
        </w:rPr>
        <w:t>to be</w:t>
      </w:r>
      <w:r w:rsidR="000549CF">
        <w:rPr>
          <w:rFonts w:ascii="Avenir Book" w:hAnsi="Avenir Book" w:cs="Times New Roman"/>
          <w:sz w:val="22"/>
          <w:szCs w:val="22"/>
        </w:rPr>
        <w:t xml:space="preserve"> use</w:t>
      </w:r>
      <w:r w:rsidR="00B40FD4">
        <w:rPr>
          <w:rFonts w:ascii="Avenir Book" w:hAnsi="Avenir Book" w:cs="Times New Roman"/>
          <w:sz w:val="22"/>
          <w:szCs w:val="22"/>
          <w:lang w:val="en-US"/>
        </w:rPr>
        <w:t>d</w:t>
      </w:r>
      <w:r w:rsidRPr="00AB55F5">
        <w:rPr>
          <w:rFonts w:ascii="Avenir Book" w:hAnsi="Avenir Book" w:cs="Times New Roman"/>
          <w:sz w:val="22"/>
          <w:szCs w:val="22"/>
        </w:rPr>
        <w:t xml:space="preserve"> in the industry.</w:t>
      </w:r>
    </w:p>
    <w:p w14:paraId="5529F4D0" w14:textId="77777777" w:rsidR="00D91A67" w:rsidRPr="00126667" w:rsidRDefault="00D91A67" w:rsidP="00D23693">
      <w:pPr>
        <w:jc w:val="both"/>
        <w:rPr>
          <w:rFonts w:ascii="Avenir Book" w:hAnsi="Avenir Book" w:cs="Times New Roman"/>
          <w:b/>
          <w:sz w:val="20"/>
          <w:szCs w:val="20"/>
        </w:rPr>
      </w:pPr>
    </w:p>
    <w:p w14:paraId="72A0996E" w14:textId="0400CEE6"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A thorough understanding </w:t>
      </w:r>
      <w:r w:rsidR="000549CF">
        <w:rPr>
          <w:rFonts w:ascii="Avenir Book" w:hAnsi="Avenir Book" w:cs="Times New Roman"/>
          <w:sz w:val="22"/>
          <w:szCs w:val="22"/>
        </w:rPr>
        <w:t xml:space="preserve">of </w:t>
      </w:r>
      <w:r w:rsidRPr="00AB55F5">
        <w:rPr>
          <w:rFonts w:ascii="Avenir Book" w:hAnsi="Avenir Book" w:cs="Times New Roman"/>
          <w:sz w:val="22"/>
          <w:szCs w:val="22"/>
        </w:rPr>
        <w:t xml:space="preserve">when performing a building assessment requires a deep understanding of building science fundamentals. </w:t>
      </w:r>
      <w:sdt>
        <w:sdtPr>
          <w:rPr>
            <w:rFonts w:ascii="Avenir Book" w:hAnsi="Avenir Book" w:cs="Times New Roman"/>
            <w:sz w:val="22"/>
            <w:szCs w:val="22"/>
          </w:rPr>
          <w:tag w:val="goog_rdk_34"/>
          <w:id w:val="-984667057"/>
        </w:sdtPr>
        <w:sdtEndPr/>
        <w:sdtContent/>
      </w:sdt>
      <w:sdt>
        <w:sdtPr>
          <w:rPr>
            <w:rFonts w:ascii="Avenir Book" w:hAnsi="Avenir Book" w:cs="Times New Roman"/>
            <w:sz w:val="22"/>
            <w:szCs w:val="22"/>
          </w:rPr>
          <w:tag w:val="goog_rdk_35"/>
          <w:id w:val="-926256618"/>
        </w:sdtPr>
        <w:sdtEndPr/>
        <w:sdtContent/>
      </w:sdt>
      <w:r w:rsidRPr="00AB55F5">
        <w:rPr>
          <w:rFonts w:ascii="Avenir Book" w:hAnsi="Avenir Book" w:cs="Times New Roman"/>
          <w:sz w:val="22"/>
          <w:szCs w:val="22"/>
        </w:rPr>
        <w:t>A comprehensive evaluation must include air pressure differentials, air movement patterns, and the identification of key pathways through which contaminants may enter the occupied space</w:t>
      </w:r>
      <w:r w:rsidRPr="00AB55F5">
        <w:rPr>
          <w:rFonts w:ascii="Avenir Book" w:hAnsi="Avenir Book" w:cs="Times New Roman"/>
          <w:sz w:val="22"/>
          <w:szCs w:val="22"/>
          <w:vertAlign w:val="superscript"/>
        </w:rPr>
        <w:t>53,54,55,56</w:t>
      </w:r>
      <w:r w:rsidRPr="00AB55F5">
        <w:rPr>
          <w:rFonts w:ascii="Avenir Book" w:hAnsi="Avenir Book" w:cs="Times New Roman"/>
          <w:sz w:val="22"/>
          <w:szCs w:val="22"/>
        </w:rPr>
        <w:t xml:space="preserve">. As Dr. Joseph Lstiburek of Building Science Corporation accurately emphasizes, air moves from high-pressure zones to low-pressure zones—often dragging with it moisture, particulates, and biological contaminants. This air movement is frequently uncontrolled, </w:t>
      </w:r>
      <w:r w:rsidR="00B40FD4">
        <w:rPr>
          <w:rFonts w:ascii="Avenir Book" w:hAnsi="Avenir Book" w:cs="Times New Roman"/>
          <w:sz w:val="22"/>
          <w:szCs w:val="22"/>
        </w:rPr>
        <w:t>driven by various</w:t>
      </w:r>
      <w:r w:rsidRPr="00AB55F5">
        <w:rPr>
          <w:rFonts w:ascii="Avenir Book" w:hAnsi="Avenir Book" w:cs="Times New Roman"/>
          <w:sz w:val="22"/>
          <w:szCs w:val="22"/>
        </w:rPr>
        <w:t xml:space="preserve"> forces, occurring through cracks, wall cavities, ceiling plenums, and other construction voids. Air p</w:t>
      </w:r>
      <w:sdt>
        <w:sdtPr>
          <w:rPr>
            <w:rFonts w:ascii="Avenir Book" w:hAnsi="Avenir Book" w:cs="Times New Roman"/>
            <w:sz w:val="22"/>
            <w:szCs w:val="22"/>
          </w:rPr>
          <w:tag w:val="goog_rdk_36"/>
          <w:id w:val="-956802715"/>
        </w:sdtPr>
        <w:sdtEndPr/>
        <w:sdtContent/>
      </w:sdt>
      <w:r w:rsidRPr="00AB55F5">
        <w:rPr>
          <w:rFonts w:ascii="Avenir Book" w:hAnsi="Avenir Book" w:cs="Times New Roman"/>
          <w:sz w:val="22"/>
          <w:szCs w:val="22"/>
        </w:rPr>
        <w:t xml:space="preserve">ressure </w:t>
      </w:r>
      <w:r w:rsidRPr="00AB55F5">
        <w:rPr>
          <w:rFonts w:ascii="Avenir Book" w:hAnsi="Avenir Book" w:cs="Times New Roman"/>
          <w:sz w:val="22"/>
          <w:szCs w:val="22"/>
        </w:rPr>
        <w:lastRenderedPageBreak/>
        <w:t>differentials created from HVAC systems or thermal gradients can draw pollutants from hidden reservoirs into breathing zones</w:t>
      </w:r>
      <w:r w:rsidRPr="00AB55F5">
        <w:rPr>
          <w:rFonts w:ascii="Avenir Book" w:hAnsi="Avenir Book" w:cs="Times New Roman"/>
          <w:sz w:val="22"/>
          <w:szCs w:val="22"/>
          <w:vertAlign w:val="superscript"/>
        </w:rPr>
        <w:t>57</w:t>
      </w:r>
      <w:r w:rsidRPr="00AB55F5">
        <w:rPr>
          <w:rFonts w:ascii="Avenir Book" w:hAnsi="Avenir Book" w:cs="Times New Roman"/>
          <w:sz w:val="22"/>
          <w:szCs w:val="22"/>
        </w:rPr>
        <w:t xml:space="preserve">. A failure to recognize these pressure-driven flows undermines accurate environmental diagnosis and, subsequently, appropriate remediation planning. </w:t>
      </w:r>
    </w:p>
    <w:p w14:paraId="09C248C0" w14:textId="77777777" w:rsidR="00266FB4" w:rsidRPr="00AB55F5" w:rsidRDefault="00266FB4" w:rsidP="00D23693">
      <w:pPr>
        <w:jc w:val="both"/>
        <w:rPr>
          <w:rFonts w:ascii="Avenir Book" w:hAnsi="Avenir Book" w:cs="Times New Roman"/>
          <w:sz w:val="22"/>
          <w:szCs w:val="22"/>
        </w:rPr>
      </w:pPr>
    </w:p>
    <w:p w14:paraId="0A0B0EF1" w14:textId="19BDA390" w:rsidR="00A36B72" w:rsidRPr="00AB55F5"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Instead of addressing the visible symptoms alone, knowledgeable IEPs must assess how the building functions as a system. This systems-based perspective is essential for identifying how contamination is transported, where it originates, and how it might be effectively identified and properly remediated to protect human health. Part of a thorough assessment will often include the collection of real-time measurements </w:t>
      </w:r>
      <w:r w:rsidRPr="00AB55F5">
        <w:rPr>
          <w:rFonts w:ascii="Avenir Book" w:hAnsi="Avenir Book" w:cs="Times New Roman"/>
          <w:i/>
          <w:sz w:val="22"/>
          <w:szCs w:val="22"/>
        </w:rPr>
        <w:t>(e.g., Temperature, Humidity, Carbon Monoxide, Carbon Dioxide, Total Volatile Organic Compounds (TVOCs) and chemicals, Particulate Matter (PM)) and environmental (e.g., mold and bacteria)</w:t>
      </w:r>
      <w:r w:rsidRPr="00AB55F5">
        <w:rPr>
          <w:rFonts w:ascii="Avenir Book" w:hAnsi="Avenir Book" w:cs="Times New Roman"/>
          <w:sz w:val="22"/>
          <w:szCs w:val="22"/>
        </w:rPr>
        <w:t xml:space="preserve"> sampling. Often </w:t>
      </w:r>
      <w:r w:rsidR="00644422" w:rsidRPr="00AB55F5">
        <w:rPr>
          <w:rFonts w:ascii="Avenir Book" w:hAnsi="Avenir Book" w:cs="Times New Roman"/>
          <w:sz w:val="22"/>
          <w:szCs w:val="22"/>
        </w:rPr>
        <w:t>like</w:t>
      </w:r>
      <w:r w:rsidRPr="00AB55F5">
        <w:rPr>
          <w:rFonts w:ascii="Avenir Book" w:hAnsi="Avenir Book" w:cs="Times New Roman"/>
          <w:sz w:val="22"/>
          <w:szCs w:val="22"/>
        </w:rPr>
        <w:t xml:space="preserve"> taking vitals of a patient, these indicators can help shape or reinforce the IEP's hypotheses of where underlying issues are occurring. Knowing, for example, that a build-up of carbon dioxide (CO</w:t>
      </w:r>
      <w:r w:rsidRPr="00AB55F5">
        <w:rPr>
          <w:rFonts w:ascii="Avenir Book" w:hAnsi="Avenir Book" w:cs="Times New Roman"/>
          <w:sz w:val="22"/>
          <w:szCs w:val="22"/>
          <w:vertAlign w:val="subscript"/>
        </w:rPr>
        <w:t>2</w:t>
      </w:r>
      <w:r w:rsidRPr="00AB55F5">
        <w:rPr>
          <w:rFonts w:ascii="Avenir Book" w:hAnsi="Avenir Book" w:cs="Times New Roman"/>
          <w:sz w:val="22"/>
          <w:szCs w:val="22"/>
        </w:rPr>
        <w:t xml:space="preserve">) in the basement of a home, when </w:t>
      </w:r>
      <w:r w:rsidR="00B40FD4">
        <w:rPr>
          <w:rFonts w:ascii="Avenir Book" w:hAnsi="Avenir Book" w:cs="Times New Roman"/>
          <w:sz w:val="22"/>
          <w:szCs w:val="22"/>
        </w:rPr>
        <w:t>humans do not occupy the basement</w:t>
      </w:r>
      <w:r w:rsidR="008A5509">
        <w:rPr>
          <w:rFonts w:ascii="Avenir Book" w:hAnsi="Avenir Book" w:cs="Times New Roman"/>
          <w:sz w:val="22"/>
          <w:szCs w:val="22"/>
        </w:rPr>
        <w:t>,</w:t>
      </w:r>
      <w:r w:rsidR="00135426">
        <w:rPr>
          <w:rFonts w:ascii="Avenir Book" w:hAnsi="Avenir Book" w:cs="Times New Roman"/>
          <w:sz w:val="22"/>
          <w:szCs w:val="22"/>
          <w:lang w:val="en-US"/>
        </w:rPr>
        <w:t xml:space="preserve"> </w:t>
      </w:r>
      <w:r w:rsidRPr="00AB55F5">
        <w:rPr>
          <w:rFonts w:ascii="Avenir Book" w:hAnsi="Avenir Book" w:cs="Times New Roman"/>
          <w:sz w:val="22"/>
          <w:szCs w:val="22"/>
        </w:rPr>
        <w:t xml:space="preserve">may indicate the presence of </w:t>
      </w:r>
      <w:sdt>
        <w:sdtPr>
          <w:rPr>
            <w:rFonts w:ascii="Avenir Book" w:hAnsi="Avenir Book" w:cs="Times New Roman"/>
            <w:sz w:val="22"/>
            <w:szCs w:val="22"/>
          </w:rPr>
          <w:tag w:val="goog_rdk_37"/>
          <w:id w:val="-1768229269"/>
        </w:sdtPr>
        <w:sdtEndPr/>
        <w:sdtContent/>
      </w:sdt>
      <w:r w:rsidRPr="00AB55F5">
        <w:rPr>
          <w:rFonts w:ascii="Avenir Book" w:hAnsi="Avenir Book" w:cs="Times New Roman"/>
          <w:sz w:val="22"/>
          <w:szCs w:val="22"/>
        </w:rPr>
        <w:t>amplified microbial growth</w:t>
      </w:r>
      <w:r w:rsidRPr="00AB55F5">
        <w:rPr>
          <w:rFonts w:ascii="Avenir Book" w:hAnsi="Avenir Book" w:cs="Times New Roman"/>
          <w:sz w:val="22"/>
          <w:szCs w:val="22"/>
          <w:vertAlign w:val="superscript"/>
        </w:rPr>
        <w:t>58,59,60</w:t>
      </w:r>
      <w:r w:rsidRPr="00AB55F5">
        <w:rPr>
          <w:rFonts w:ascii="Avenir Book" w:hAnsi="Avenir Book" w:cs="Times New Roman"/>
          <w:sz w:val="22"/>
          <w:szCs w:val="22"/>
        </w:rPr>
        <w:t>, or even insufficient ventilation.</w:t>
      </w:r>
    </w:p>
    <w:p w14:paraId="6548E5C0" w14:textId="77777777" w:rsidR="00A36B72" w:rsidRPr="00AB55F5" w:rsidRDefault="00A36B72" w:rsidP="00D23693">
      <w:pPr>
        <w:jc w:val="both"/>
        <w:rPr>
          <w:rFonts w:ascii="Avenir Book" w:hAnsi="Avenir Book" w:cs="Times New Roman"/>
          <w:sz w:val="22"/>
          <w:szCs w:val="22"/>
        </w:rPr>
      </w:pPr>
    </w:p>
    <w:p w14:paraId="26E5B7C3" w14:textId="77777777" w:rsidR="00266FB4" w:rsidRPr="00266FB4" w:rsidRDefault="00A36B72" w:rsidP="00D23693">
      <w:pPr>
        <w:jc w:val="both"/>
        <w:rPr>
          <w:rFonts w:ascii="Avenir Book" w:hAnsi="Avenir Book" w:cs="Times New Roman"/>
          <w:color w:val="11639F"/>
          <w:sz w:val="28"/>
          <w:szCs w:val="32"/>
        </w:rPr>
      </w:pPr>
      <w:r w:rsidRPr="00266FB4">
        <w:rPr>
          <w:rFonts w:ascii="Avenir Book" w:hAnsi="Avenir Book" w:cs="Times New Roman"/>
          <w:b/>
          <w:color w:val="11639F"/>
          <w:sz w:val="28"/>
          <w:szCs w:val="32"/>
        </w:rPr>
        <w:t>Sampling the Unseen: Integrative Use of Advanced Sampling Techniques</w:t>
      </w:r>
    </w:p>
    <w:p w14:paraId="38A2EB6A" w14:textId="743EC3AD" w:rsidR="00A36B72" w:rsidRPr="00AB55F5" w:rsidRDefault="00A36B72" w:rsidP="00D23693">
      <w:pPr>
        <w:jc w:val="both"/>
        <w:rPr>
          <w:rFonts w:ascii="Avenir Book" w:hAnsi="Avenir Book" w:cs="Times New Roman"/>
          <w:sz w:val="22"/>
          <w:szCs w:val="22"/>
        </w:rPr>
      </w:pPr>
      <w:r w:rsidRPr="00AB55F5">
        <w:rPr>
          <w:rFonts w:ascii="Avenir Book" w:hAnsi="Avenir Book" w:cs="Times New Roman"/>
          <w:i/>
          <w:iCs/>
          <w:sz w:val="22"/>
          <w:szCs w:val="22"/>
        </w:rPr>
        <w:t>Strengths, limitations, and strategic deployment of environmental sampling methods.</w:t>
      </w:r>
    </w:p>
    <w:p w14:paraId="5D2E143A" w14:textId="77777777" w:rsidR="00A36B72" w:rsidRPr="00AB55F5" w:rsidRDefault="00A36B72" w:rsidP="00D23693">
      <w:pPr>
        <w:jc w:val="both"/>
        <w:rPr>
          <w:rFonts w:ascii="Avenir Book" w:hAnsi="Avenir Book" w:cs="Times New Roman"/>
          <w:b/>
          <w:bCs/>
          <w:i/>
          <w:iCs/>
          <w:sz w:val="22"/>
          <w:szCs w:val="22"/>
        </w:rPr>
      </w:pPr>
      <w:r w:rsidRPr="00AB55F5">
        <w:rPr>
          <w:rFonts w:ascii="Avenir Book" w:hAnsi="Avenir Book" w:cs="Times New Roman"/>
          <w:b/>
          <w:bCs/>
          <w:i/>
          <w:iCs/>
          <w:sz w:val="22"/>
          <w:szCs w:val="22"/>
        </w:rPr>
        <w:t>Mold (Fungi)</w:t>
      </w:r>
    </w:p>
    <w:p w14:paraId="4BCAE34A" w14:textId="474632F4" w:rsidR="00A36B72" w:rsidRPr="00AB55F5" w:rsidRDefault="00A36B72" w:rsidP="00D23693">
      <w:pPr>
        <w:jc w:val="both"/>
        <w:rPr>
          <w:rFonts w:ascii="Avenir Book" w:hAnsi="Avenir Book" w:cs="Times New Roman"/>
          <w:sz w:val="22"/>
          <w:szCs w:val="22"/>
        </w:rPr>
      </w:pPr>
      <w:r w:rsidRPr="00AB55F5">
        <w:rPr>
          <w:rFonts w:ascii="Avenir Book" w:hAnsi="Avenir Book" w:cs="Times New Roman"/>
          <w:sz w:val="22"/>
          <w:szCs w:val="22"/>
        </w:rPr>
        <w:t>For the IEP, they are faced with the fact that all samples inherently are limited. Coupled with the reality that not every mo</w:t>
      </w:r>
      <w:r w:rsidR="008A5509">
        <w:rPr>
          <w:rFonts w:ascii="Avenir Book" w:hAnsi="Avenir Book" w:cs="Times New Roman"/>
          <w:sz w:val="22"/>
          <w:szCs w:val="22"/>
        </w:rPr>
        <w:t>ld species can</w:t>
      </w:r>
      <w:r w:rsidRPr="00AB55F5">
        <w:rPr>
          <w:rFonts w:ascii="Avenir Book" w:hAnsi="Avenir Book" w:cs="Times New Roman"/>
          <w:sz w:val="22"/>
          <w:szCs w:val="22"/>
        </w:rPr>
        <w:t xml:space="preserve"> be commercially identified using the available analysis methods, the passionate and informed IEP needs to find methods that offer superior value. Gone are the days of exposure concerns only being focused on viable ("alive") mold and bacteria. Whether "dead (non-viable)" or "alive" mold, for example, can still cause adverse allergic (inflammatory) responses</w:t>
      </w:r>
      <w:r w:rsidRPr="00AB55F5">
        <w:rPr>
          <w:rFonts w:ascii="Avenir Book" w:hAnsi="Avenir Book" w:cs="Times New Roman"/>
          <w:sz w:val="22"/>
          <w:szCs w:val="22"/>
          <w:vertAlign w:val="superscript"/>
        </w:rPr>
        <w:t>61,62</w:t>
      </w:r>
      <w:r w:rsidRPr="00AB55F5">
        <w:rPr>
          <w:rFonts w:ascii="Avenir Book" w:hAnsi="Avenir Book" w:cs="Times New Roman"/>
          <w:sz w:val="22"/>
          <w:szCs w:val="22"/>
        </w:rPr>
        <w:t xml:space="preserve"> in </w:t>
      </w:r>
      <w:sdt>
        <w:sdtPr>
          <w:rPr>
            <w:rFonts w:ascii="Avenir Book" w:hAnsi="Avenir Book" w:cs="Times New Roman"/>
            <w:sz w:val="22"/>
            <w:szCs w:val="22"/>
          </w:rPr>
          <w:tag w:val="goog_rdk_38"/>
          <w:id w:val="-1966331746"/>
        </w:sdtPr>
        <w:sdtEndPr/>
        <w:sdtContent/>
      </w:sdt>
      <w:r w:rsidRPr="00AB55F5">
        <w:rPr>
          <w:rFonts w:ascii="Avenir Book" w:hAnsi="Avenir Book" w:cs="Times New Roman"/>
          <w:sz w:val="22"/>
          <w:szCs w:val="22"/>
        </w:rPr>
        <w:t>individuals. This is of key importance due to the limitations that some forms of mold sampling and analysis (e.g., Microscopy, Culturing) do not identify non-viable mold structures (culturing), nor do they identify fungal fragments</w:t>
      </w:r>
      <w:r w:rsidRPr="00AB55F5">
        <w:rPr>
          <w:rFonts w:ascii="Avenir Book" w:hAnsi="Avenir Book" w:cs="Times New Roman"/>
          <w:sz w:val="22"/>
          <w:szCs w:val="22"/>
          <w:vertAlign w:val="superscript"/>
        </w:rPr>
        <w:t>63,64, 81,8</w:t>
      </w:r>
      <w:r w:rsidR="00266FB4" w:rsidRPr="00266FB4">
        <w:rPr>
          <w:rFonts w:ascii="Avenir Book" w:hAnsi="Avenir Book" w:cs="Times New Roman"/>
          <w:sz w:val="22"/>
          <w:szCs w:val="22"/>
        </w:rPr>
        <w:t xml:space="preserve"> (microscopy, culturing), which are another significant source of exposure concern.</w:t>
      </w:r>
      <w:r w:rsidRPr="00AB55F5">
        <w:rPr>
          <w:rFonts w:ascii="Avenir Book" w:hAnsi="Avenir Book" w:cs="Times New Roman"/>
          <w:sz w:val="22"/>
          <w:szCs w:val="22"/>
          <w:vertAlign w:val="superscript"/>
        </w:rPr>
        <w:t xml:space="preserve">2 </w:t>
      </w:r>
      <w:sdt>
        <w:sdtPr>
          <w:rPr>
            <w:rFonts w:ascii="Avenir Book" w:hAnsi="Avenir Book" w:cs="Times New Roman"/>
            <w:sz w:val="22"/>
            <w:szCs w:val="22"/>
          </w:rPr>
          <w:tag w:val="goog_rdk_39"/>
          <w:id w:val="-8755614"/>
        </w:sdtPr>
        <w:sdtEndPr/>
        <w:sdtContent/>
      </w:sdt>
    </w:p>
    <w:p w14:paraId="14A56234" w14:textId="77777777" w:rsidR="00646C02" w:rsidRDefault="00646C02" w:rsidP="00D23693">
      <w:pPr>
        <w:jc w:val="both"/>
        <w:rPr>
          <w:rFonts w:ascii="Avenir Book" w:hAnsi="Avenir Book" w:cs="Times New Roman"/>
          <w:sz w:val="22"/>
          <w:szCs w:val="22"/>
        </w:rPr>
      </w:pPr>
    </w:p>
    <w:p w14:paraId="417E6F24" w14:textId="694845A9"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While these methods retain value within medically important assessments, it is the responsibility of the IEP to determine when a specific sampling technique is warranted and to interpret the results within the context of each method's limitations. Just as a cardiothoracic surgeon must weigh the benefits and constraints of various surgical interventions in light of a patient's medical history and physiological condition, so too must the IEP judiciously apply sampling tools in alignment with the hypotheses developed that focus on the building's design, environmental history (profile), and clinical needs of the patient.</w:t>
      </w:r>
    </w:p>
    <w:p w14:paraId="5839FF18" w14:textId="77777777" w:rsidR="00266FB4" w:rsidRPr="00407128" w:rsidRDefault="00266FB4" w:rsidP="00D23693">
      <w:pPr>
        <w:jc w:val="both"/>
        <w:rPr>
          <w:rFonts w:ascii="Avenir Book" w:hAnsi="Avenir Book" w:cs="Times New Roman"/>
        </w:rPr>
      </w:pPr>
    </w:p>
    <w:p w14:paraId="2A7A8914" w14:textId="3086E6AF" w:rsidR="00A36B72" w:rsidRDefault="00A36B72" w:rsidP="00D23693">
      <w:pPr>
        <w:jc w:val="both"/>
        <w:rPr>
          <w:rFonts w:ascii="Avenir Book" w:hAnsi="Avenir Book" w:cs="Times New Roman"/>
          <w:sz w:val="22"/>
          <w:szCs w:val="22"/>
        </w:rPr>
      </w:pPr>
      <w:r w:rsidRPr="00AB55F5">
        <w:rPr>
          <w:rFonts w:ascii="Avenir Book" w:hAnsi="Avenir Book" w:cs="Times New Roman"/>
          <w:sz w:val="22"/>
          <w:szCs w:val="22"/>
        </w:rPr>
        <w:t xml:space="preserve">Failing to </w:t>
      </w:r>
      <w:r w:rsidR="00BC63BC" w:rsidRPr="00AB55F5">
        <w:rPr>
          <w:rFonts w:ascii="Avenir Book" w:hAnsi="Avenir Book" w:cs="Times New Roman"/>
          <w:sz w:val="22"/>
          <w:szCs w:val="22"/>
        </w:rPr>
        <w:t>recognin</w:t>
      </w:r>
      <w:r w:rsidR="000E6F9A">
        <w:rPr>
          <w:rFonts w:ascii="Avenir Book" w:hAnsi="Avenir Book" w:cs="Times New Roman"/>
          <w:sz w:val="22"/>
          <w:szCs w:val="22"/>
          <w:lang w:val="en-US"/>
        </w:rPr>
        <w:t>ze</w:t>
      </w:r>
      <w:r w:rsidR="008A5509">
        <w:rPr>
          <w:rFonts w:ascii="Avenir Book" w:hAnsi="Avenir Book" w:cs="Times New Roman"/>
          <w:sz w:val="22"/>
          <w:szCs w:val="22"/>
        </w:rPr>
        <w:t xml:space="preserve"> this reality of our environment often</w:t>
      </w:r>
      <w:r w:rsidRPr="00AB55F5">
        <w:rPr>
          <w:rFonts w:ascii="Avenir Book" w:hAnsi="Avenir Book" w:cs="Times New Roman"/>
          <w:sz w:val="22"/>
          <w:szCs w:val="22"/>
        </w:rPr>
        <w:t xml:space="preserve"> leads to misdiagnosis of the building. </w:t>
      </w:r>
      <w:sdt>
        <w:sdtPr>
          <w:rPr>
            <w:rFonts w:ascii="Avenir Book" w:hAnsi="Avenir Book" w:cs="Times New Roman"/>
            <w:sz w:val="22"/>
            <w:szCs w:val="22"/>
          </w:rPr>
          <w:tag w:val="goog_rdk_41"/>
          <w:id w:val="-578978056"/>
        </w:sdtPr>
        <w:sdtEndPr/>
        <w:sdtContent/>
      </w:sdt>
      <w:r w:rsidRPr="00AB55F5">
        <w:rPr>
          <w:rFonts w:ascii="Avenir Book" w:hAnsi="Avenir Book" w:cs="Times New Roman"/>
          <w:sz w:val="22"/>
          <w:szCs w:val="22"/>
        </w:rPr>
        <w:t>Today's IEPs, however, have access to incredible advances in field sample collection and ana</w:t>
      </w:r>
      <w:r w:rsidR="00657453">
        <w:rPr>
          <w:rFonts w:ascii="Avenir Book" w:hAnsi="Avenir Book" w:cs="Times New Roman"/>
          <w:sz w:val="22"/>
          <w:szCs w:val="22"/>
        </w:rPr>
        <w:t>ly</w:t>
      </w:r>
      <w:r w:rsidR="000E6F9A">
        <w:rPr>
          <w:rFonts w:ascii="Avenir Book" w:hAnsi="Avenir Book" w:cs="Times New Roman"/>
          <w:sz w:val="22"/>
          <w:szCs w:val="22"/>
        </w:rPr>
        <w:t>sis since the first microscope was used to analyse</w:t>
      </w:r>
      <w:r w:rsidR="006A696A">
        <w:rPr>
          <w:rFonts w:ascii="Avenir Book" w:hAnsi="Avenir Book" w:cs="Times New Roman"/>
          <w:sz w:val="22"/>
          <w:szCs w:val="22"/>
        </w:rPr>
        <w:t xml:space="preserve"> </w:t>
      </w:r>
      <w:r w:rsidR="00644422">
        <w:rPr>
          <w:rFonts w:ascii="Avenir Book" w:hAnsi="Avenir Book" w:cs="Times New Roman"/>
          <w:sz w:val="22"/>
          <w:szCs w:val="22"/>
        </w:rPr>
        <w:t>mold in</w:t>
      </w:r>
      <w:r w:rsidR="000E6F9A">
        <w:rPr>
          <w:rFonts w:ascii="Avenir Book" w:hAnsi="Avenir Book" w:cs="Times New Roman"/>
          <w:sz w:val="22"/>
          <w:szCs w:val="22"/>
        </w:rPr>
        <w:t xml:space="preserve"> 1665 by Robert Hooke, an English scientist</w:t>
      </w:r>
      <w:r w:rsidRPr="00AB55F5">
        <w:rPr>
          <w:rFonts w:ascii="Avenir Book" w:hAnsi="Avenir Book" w:cs="Times New Roman"/>
          <w:sz w:val="22"/>
          <w:szCs w:val="22"/>
        </w:rPr>
        <w:t>. Culturing of mold using a range of selected agar media, for example, allowed for the detection and identification of viable mold</w:t>
      </w:r>
      <w:r w:rsidRPr="00AB55F5">
        <w:rPr>
          <w:rFonts w:ascii="Avenir Book" w:hAnsi="Avenir Book" w:cs="Times New Roman"/>
          <w:i/>
          <w:sz w:val="22"/>
          <w:szCs w:val="22"/>
        </w:rPr>
        <w:t xml:space="preserve"> (airborne spores containing a </w:t>
      </w:r>
      <w:sdt>
        <w:sdtPr>
          <w:rPr>
            <w:rFonts w:ascii="Avenir Book" w:hAnsi="Avenir Book" w:cs="Times New Roman"/>
            <w:i/>
            <w:sz w:val="22"/>
            <w:szCs w:val="22"/>
          </w:rPr>
          <w:tag w:val="goog_rdk_44"/>
          <w:id w:val="162554437"/>
        </w:sdtPr>
        <w:sdtEndPr/>
        <w:sdtContent/>
      </w:sdt>
      <w:r w:rsidRPr="00AB55F5">
        <w:rPr>
          <w:rFonts w:ascii="Avenir Book" w:hAnsi="Avenir Book" w:cs="Times New Roman"/>
          <w:i/>
          <w:sz w:val="22"/>
          <w:szCs w:val="22"/>
        </w:rPr>
        <w:t>nucleate compartment</w:t>
      </w:r>
      <w:r w:rsidRPr="00AB55F5">
        <w:rPr>
          <w:rFonts w:ascii="Avenir Book" w:hAnsi="Avenir Book" w:cs="Times New Roman"/>
          <w:i/>
          <w:sz w:val="22"/>
          <w:szCs w:val="22"/>
          <w:vertAlign w:val="superscript"/>
        </w:rPr>
        <w:t>68</w:t>
      </w:r>
      <w:r w:rsidRPr="00AB55F5">
        <w:rPr>
          <w:rFonts w:ascii="Avenir Book" w:hAnsi="Avenir Book" w:cs="Times New Roman"/>
          <w:i/>
          <w:sz w:val="22"/>
          <w:szCs w:val="22"/>
        </w:rPr>
        <w:t xml:space="preserve"> that settle on the chosen agar)</w:t>
      </w:r>
      <w:r w:rsidRPr="00AB55F5">
        <w:rPr>
          <w:rFonts w:ascii="Avenir Book" w:hAnsi="Avenir Book" w:cs="Times New Roman"/>
          <w:sz w:val="22"/>
          <w:szCs w:val="22"/>
        </w:rPr>
        <w:t xml:space="preserve"> to germinate. This result eventually led to enumeration (Colony Forming Units (CFUs), providing additional information to help with the interpretation of this now </w:t>
      </w:r>
      <w:r w:rsidRPr="00AB55F5">
        <w:rPr>
          <w:rFonts w:ascii="Avenir Book" w:hAnsi="Avenir Book" w:cs="Times New Roman"/>
          <w:i/>
          <w:sz w:val="22"/>
          <w:szCs w:val="22"/>
        </w:rPr>
        <w:t>quantitative</w:t>
      </w:r>
      <w:r w:rsidRPr="00AB55F5">
        <w:rPr>
          <w:rFonts w:ascii="Avenir Book" w:hAnsi="Avenir Book" w:cs="Times New Roman"/>
          <w:sz w:val="22"/>
          <w:szCs w:val="22"/>
        </w:rPr>
        <w:t xml:space="preserve"> dataset.</w:t>
      </w:r>
    </w:p>
    <w:p w14:paraId="694F4180" w14:textId="77777777" w:rsidR="00646C02" w:rsidRPr="00407128" w:rsidRDefault="00646C02" w:rsidP="00D23693">
      <w:pPr>
        <w:jc w:val="both"/>
        <w:rPr>
          <w:rFonts w:ascii="Avenir Book" w:hAnsi="Avenir Book" w:cs="Times New Roman"/>
        </w:rPr>
      </w:pPr>
    </w:p>
    <w:p w14:paraId="39E9854E" w14:textId="66C77F8C" w:rsidR="00A36B72" w:rsidRPr="00AB55F5" w:rsidRDefault="00644422" w:rsidP="00D23693">
      <w:pPr>
        <w:jc w:val="both"/>
        <w:rPr>
          <w:rFonts w:ascii="Avenir Book" w:hAnsi="Avenir Book" w:cs="Times New Roman"/>
          <w:sz w:val="22"/>
          <w:szCs w:val="22"/>
        </w:rPr>
      </w:pPr>
      <w:sdt>
        <w:sdtPr>
          <w:rPr>
            <w:rFonts w:ascii="Avenir Book" w:hAnsi="Avenir Book" w:cs="Times New Roman"/>
            <w:sz w:val="22"/>
            <w:szCs w:val="22"/>
          </w:rPr>
          <w:tag w:val="goog_rdk_46"/>
          <w:id w:val="1570376443"/>
        </w:sdtPr>
        <w:sdtEndPr/>
        <w:sdtContent/>
      </w:sdt>
      <w:r w:rsidR="00A36B72" w:rsidRPr="00AB55F5">
        <w:rPr>
          <w:rFonts w:ascii="Avenir Book" w:hAnsi="Avenir Book" w:cs="Times New Roman"/>
          <w:sz w:val="22"/>
          <w:szCs w:val="22"/>
        </w:rPr>
        <w:t>An acceleration in more sophisticated sampling and analysis techniques were realized in the 1980s to 1990s as concerns regarding "sick building" syndrome and overall "indoor air quality" concerns grew</w:t>
      </w:r>
      <w:r w:rsidR="00A36B72" w:rsidRPr="00AB55F5">
        <w:rPr>
          <w:rFonts w:ascii="Avenir Book" w:hAnsi="Avenir Book" w:cs="Times New Roman"/>
          <w:sz w:val="22"/>
          <w:szCs w:val="22"/>
          <w:vertAlign w:val="superscript"/>
        </w:rPr>
        <w:t>69-80</w:t>
      </w:r>
      <w:r w:rsidR="00A36B72" w:rsidRPr="00AB55F5">
        <w:rPr>
          <w:rFonts w:ascii="Avenir Book" w:hAnsi="Avenir Book" w:cs="Times New Roman"/>
          <w:sz w:val="22"/>
          <w:szCs w:val="22"/>
        </w:rPr>
        <w:t xml:space="preserve">. </w:t>
      </w:r>
      <w:sdt>
        <w:sdtPr>
          <w:rPr>
            <w:rFonts w:ascii="Avenir Book" w:hAnsi="Avenir Book" w:cs="Times New Roman"/>
            <w:sz w:val="22"/>
            <w:szCs w:val="22"/>
          </w:rPr>
          <w:tag w:val="goog_rdk_47"/>
          <w:id w:val="-506479922"/>
        </w:sdtPr>
        <w:sdtEndPr/>
        <w:sdtContent/>
      </w:sdt>
      <w:r w:rsidR="00A36B72" w:rsidRPr="00AB55F5">
        <w:rPr>
          <w:rFonts w:ascii="Avenir Book" w:hAnsi="Avenir Book" w:cs="Times New Roman"/>
          <w:sz w:val="22"/>
          <w:szCs w:val="22"/>
        </w:rPr>
        <w:t xml:space="preserve">This included advancements in microscopy (direct examination), </w:t>
      </w:r>
      <w:r w:rsidR="00455823">
        <w:rPr>
          <w:rFonts w:ascii="Avenir Book" w:hAnsi="Avenir Book" w:cs="Times New Roman"/>
          <w:sz w:val="22"/>
          <w:szCs w:val="22"/>
        </w:rPr>
        <w:t xml:space="preserve">the </w:t>
      </w:r>
      <w:r w:rsidR="00A36B72" w:rsidRPr="00AB55F5">
        <w:rPr>
          <w:rFonts w:ascii="Avenir Book" w:hAnsi="Avenir Book" w:cs="Times New Roman"/>
          <w:sz w:val="22"/>
          <w:szCs w:val="22"/>
        </w:rPr>
        <w:t>Petri dish (</w:t>
      </w:r>
      <w:r w:rsidRPr="00AB55F5">
        <w:rPr>
          <w:rFonts w:ascii="Avenir Book" w:hAnsi="Avenir Book" w:cs="Times New Roman"/>
          <w:sz w:val="22"/>
          <w:szCs w:val="22"/>
        </w:rPr>
        <w:t>culturable mentioned</w:t>
      </w:r>
      <w:r w:rsidR="00A36B72" w:rsidRPr="00AB55F5">
        <w:rPr>
          <w:rFonts w:ascii="Avenir Book" w:hAnsi="Avenir Book" w:cs="Times New Roman"/>
          <w:sz w:val="22"/>
          <w:szCs w:val="22"/>
        </w:rPr>
        <w:t xml:space="preserve"> above), and the development of Mold Specific Polymerase Chain Reaction (</w:t>
      </w:r>
      <w:r w:rsidR="00E25F5E">
        <w:rPr>
          <w:rFonts w:ascii="Avenir Book" w:hAnsi="Avenir Book" w:cs="Times New Roman"/>
          <w:sz w:val="22"/>
          <w:szCs w:val="22"/>
        </w:rPr>
        <w:t>MSQPCR</w:t>
      </w:r>
      <w:r w:rsidR="00A36B72" w:rsidRPr="00AB55F5">
        <w:rPr>
          <w:rFonts w:ascii="Avenir Book" w:hAnsi="Avenir Book" w:cs="Times New Roman"/>
          <w:sz w:val="22"/>
          <w:szCs w:val="22"/>
        </w:rPr>
        <w:t xml:space="preserve">) analysis methods, </w:t>
      </w:r>
      <w:r w:rsidR="005E2DC5">
        <w:rPr>
          <w:rFonts w:ascii="Avenir Book" w:hAnsi="Avenir Book" w:cs="Times New Roman"/>
          <w:sz w:val="22"/>
          <w:szCs w:val="22"/>
        </w:rPr>
        <w:t>which were</w:t>
      </w:r>
      <w:r w:rsidR="005E2DC5" w:rsidRPr="00AB55F5">
        <w:rPr>
          <w:rFonts w:ascii="Avenir Book" w:hAnsi="Avenir Book" w:cs="Times New Roman"/>
          <w:sz w:val="22"/>
          <w:szCs w:val="22"/>
        </w:rPr>
        <w:t xml:space="preserve"> </w:t>
      </w:r>
      <w:r w:rsidR="00A36B72" w:rsidRPr="00AB55F5">
        <w:rPr>
          <w:rFonts w:ascii="Avenir Book" w:hAnsi="Avenir Book" w:cs="Times New Roman"/>
          <w:sz w:val="22"/>
          <w:szCs w:val="22"/>
        </w:rPr>
        <w:t>eventually commercialized in 2006</w:t>
      </w:r>
      <w:r w:rsidR="00A36B72" w:rsidRPr="00AB55F5">
        <w:rPr>
          <w:rFonts w:ascii="Avenir Book" w:hAnsi="Avenir Book" w:cs="Times New Roman"/>
          <w:sz w:val="22"/>
          <w:szCs w:val="22"/>
          <w:vertAlign w:val="superscript"/>
        </w:rPr>
        <w:t>34</w:t>
      </w:r>
      <w:r w:rsidR="00A36B72" w:rsidRPr="00AB55F5">
        <w:rPr>
          <w:rFonts w:ascii="Avenir Book" w:hAnsi="Avenir Book" w:cs="Times New Roman"/>
          <w:sz w:val="22"/>
          <w:szCs w:val="22"/>
        </w:rPr>
        <w:t>. A true breakthrough in the industry,</w:t>
      </w:r>
      <w:r w:rsidR="00A4440C">
        <w:rPr>
          <w:rFonts w:ascii="Avenir Book" w:hAnsi="Avenir Book" w:cs="Times New Roman"/>
          <w:sz w:val="22"/>
          <w:szCs w:val="22"/>
        </w:rPr>
        <w:t xml:space="preserve"> </w:t>
      </w:r>
      <w:r w:rsidR="00E25F5E">
        <w:rPr>
          <w:rFonts w:ascii="Avenir Book" w:hAnsi="Avenir Book" w:cs="Times New Roman"/>
          <w:sz w:val="22"/>
          <w:szCs w:val="22"/>
        </w:rPr>
        <w:t>MSQPCR</w:t>
      </w:r>
      <w:r w:rsidR="00A4440C">
        <w:rPr>
          <w:rFonts w:ascii="Avenir Book" w:hAnsi="Avenir Book" w:cs="Times New Roman"/>
          <w:sz w:val="22"/>
          <w:szCs w:val="22"/>
        </w:rPr>
        <w:t xml:space="preserve"> </w:t>
      </w:r>
      <w:r w:rsidR="00A36B72" w:rsidRPr="00AB55F5">
        <w:rPr>
          <w:rFonts w:ascii="Avenir Book" w:hAnsi="Avenir Book" w:cs="Times New Roman"/>
          <w:sz w:val="22"/>
          <w:szCs w:val="22"/>
        </w:rPr>
        <w:t xml:space="preserve">uses molecular techniques to detect and quantify mold DNA in a sample. It is </w:t>
      </w:r>
      <w:r w:rsidRPr="00AB55F5">
        <w:rPr>
          <w:rFonts w:ascii="Avenir Book" w:hAnsi="Avenir Book" w:cs="Times New Roman"/>
          <w:sz w:val="22"/>
          <w:szCs w:val="22"/>
        </w:rPr>
        <w:t>extremely sensitive</w:t>
      </w:r>
      <w:r w:rsidR="00A36B72" w:rsidRPr="00AB55F5">
        <w:rPr>
          <w:rFonts w:ascii="Avenir Book" w:hAnsi="Avenir Book" w:cs="Times New Roman"/>
          <w:sz w:val="22"/>
          <w:szCs w:val="22"/>
        </w:rPr>
        <w:t xml:space="preserve"> and specific, capable of detecting </w:t>
      </w:r>
      <w:r w:rsidR="00BE59E8">
        <w:rPr>
          <w:rFonts w:ascii="Avenir Book" w:hAnsi="Avenir Book" w:cs="Times New Roman"/>
          <w:sz w:val="22"/>
          <w:szCs w:val="22"/>
          <w:lang w:val="en-US"/>
        </w:rPr>
        <w:t xml:space="preserve">mold DNA attached to </w:t>
      </w:r>
      <w:r w:rsidR="00A36B72" w:rsidRPr="00AB55F5">
        <w:rPr>
          <w:rFonts w:ascii="Avenir Book" w:hAnsi="Avenir Book" w:cs="Times New Roman"/>
          <w:sz w:val="22"/>
          <w:szCs w:val="22"/>
        </w:rPr>
        <w:t xml:space="preserve">even </w:t>
      </w:r>
      <w:r w:rsidRPr="00AB55F5">
        <w:rPr>
          <w:rFonts w:ascii="Avenir Book" w:hAnsi="Avenir Book" w:cs="Times New Roman"/>
          <w:sz w:val="22"/>
          <w:szCs w:val="22"/>
        </w:rPr>
        <w:t>lesser amounts</w:t>
      </w:r>
      <w:r w:rsidR="00A36B72" w:rsidRPr="00AB55F5">
        <w:rPr>
          <w:rFonts w:ascii="Avenir Book" w:hAnsi="Avenir Book" w:cs="Times New Roman"/>
          <w:sz w:val="22"/>
          <w:szCs w:val="22"/>
        </w:rPr>
        <w:t xml:space="preserve"> of mold ("f</w:t>
      </w:r>
      <w:sdt>
        <w:sdtPr>
          <w:rPr>
            <w:rFonts w:ascii="Avenir Book" w:hAnsi="Avenir Book" w:cs="Times New Roman"/>
            <w:sz w:val="22"/>
            <w:szCs w:val="22"/>
          </w:rPr>
          <w:tag w:val="goog_rdk_48"/>
          <w:id w:val="1145358697"/>
        </w:sdtPr>
        <w:sdtEndPr/>
        <w:sdtContent/>
      </w:sdt>
      <w:r w:rsidR="00A36B72" w:rsidRPr="00AB55F5">
        <w:rPr>
          <w:rFonts w:ascii="Avenir Book" w:hAnsi="Avenir Book" w:cs="Times New Roman"/>
          <w:sz w:val="22"/>
          <w:szCs w:val="22"/>
        </w:rPr>
        <w:t xml:space="preserve">ungal fragments"). </w:t>
      </w:r>
      <w:r w:rsidR="00F33424">
        <w:rPr>
          <w:rFonts w:ascii="Avenir Book" w:hAnsi="Avenir Book" w:cs="Times New Roman"/>
          <w:sz w:val="22"/>
          <w:szCs w:val="22"/>
          <w:lang w:val="en-US"/>
        </w:rPr>
        <w:t xml:space="preserve">Using this technique, </w:t>
      </w:r>
      <w:r w:rsidR="00A36B72" w:rsidRPr="00AB55F5">
        <w:rPr>
          <w:rFonts w:ascii="Avenir Book" w:hAnsi="Avenir Book" w:cs="Times New Roman"/>
          <w:sz w:val="22"/>
          <w:szCs w:val="22"/>
        </w:rPr>
        <w:t>IEP</w:t>
      </w:r>
      <w:r w:rsidR="00F33424">
        <w:rPr>
          <w:rFonts w:ascii="Avenir Book" w:hAnsi="Avenir Book" w:cs="Times New Roman"/>
          <w:sz w:val="22"/>
          <w:szCs w:val="22"/>
          <w:lang w:val="en-US"/>
        </w:rPr>
        <w:t>s</w:t>
      </w:r>
      <w:r w:rsidR="00A36B72" w:rsidRPr="00AB55F5">
        <w:rPr>
          <w:rFonts w:ascii="Avenir Book" w:hAnsi="Avenir Book" w:cs="Times New Roman"/>
          <w:sz w:val="22"/>
          <w:szCs w:val="22"/>
        </w:rPr>
        <w:t xml:space="preserve"> </w:t>
      </w:r>
      <w:r w:rsidR="00DB3144">
        <w:rPr>
          <w:rFonts w:ascii="Avenir Book" w:hAnsi="Avenir Book" w:cs="Times New Roman"/>
          <w:sz w:val="22"/>
          <w:szCs w:val="22"/>
          <w:lang w:val="en-US"/>
        </w:rPr>
        <w:t>are</w:t>
      </w:r>
      <w:r w:rsidR="00A36B72" w:rsidRPr="00AB55F5">
        <w:rPr>
          <w:rFonts w:ascii="Avenir Book" w:hAnsi="Avenir Book" w:cs="Times New Roman"/>
          <w:sz w:val="22"/>
          <w:szCs w:val="22"/>
        </w:rPr>
        <w:t xml:space="preserve"> better equipped to identify what was previously missed completely</w:t>
      </w:r>
      <w:r w:rsidR="005E2DC5">
        <w:rPr>
          <w:rFonts w:ascii="Avenir Book" w:hAnsi="Avenir Book" w:cs="Times New Roman"/>
          <w:sz w:val="22"/>
          <w:szCs w:val="22"/>
        </w:rPr>
        <w:t>,</w:t>
      </w:r>
      <w:r w:rsidR="00A36B72" w:rsidRPr="00AB55F5">
        <w:rPr>
          <w:rFonts w:ascii="Avenir Book" w:hAnsi="Avenir Book" w:cs="Times New Roman"/>
          <w:sz w:val="22"/>
          <w:szCs w:val="22"/>
        </w:rPr>
        <w:t xml:space="preserve"> yet ever-present in affected buildings</w:t>
      </w:r>
      <w:r w:rsidR="00D60266">
        <w:rPr>
          <w:rFonts w:ascii="Avenir Book" w:hAnsi="Avenir Book" w:cs="Times New Roman"/>
          <w:sz w:val="22"/>
          <w:szCs w:val="22"/>
          <w:lang w:val="en-US"/>
        </w:rPr>
        <w:t>.</w:t>
      </w:r>
    </w:p>
    <w:p w14:paraId="4FF5F17F" w14:textId="77777777" w:rsidR="00D23693" w:rsidRDefault="00D23693" w:rsidP="00AB55F5">
      <w:pPr>
        <w:jc w:val="both"/>
        <w:rPr>
          <w:rFonts w:ascii="Avenir Book" w:hAnsi="Avenir Book" w:cs="Times New Roman"/>
          <w:sz w:val="22"/>
          <w:szCs w:val="22"/>
        </w:rPr>
        <w:sectPr w:rsidR="00D23693" w:rsidSect="00D23693">
          <w:type w:val="continuous"/>
          <w:pgSz w:w="11906" w:h="16838"/>
          <w:pgMar w:top="288" w:right="720" w:bottom="288" w:left="720" w:header="283" w:footer="283" w:gutter="0"/>
          <w:cols w:num="2" w:space="386"/>
          <w:docGrid w:linePitch="360"/>
        </w:sectPr>
      </w:pPr>
    </w:p>
    <w:p w14:paraId="4EABCE49" w14:textId="77777777" w:rsidR="00A36B72" w:rsidRPr="00AB55F5" w:rsidRDefault="00A36B72" w:rsidP="00AB55F5">
      <w:pPr>
        <w:jc w:val="both"/>
        <w:rPr>
          <w:rFonts w:ascii="Avenir Book" w:hAnsi="Avenir Book" w:cs="Times New Roman"/>
          <w:sz w:val="22"/>
          <w:szCs w:val="22"/>
        </w:rPr>
      </w:pPr>
    </w:p>
    <w:tbl>
      <w:tblPr>
        <w:tblStyle w:val="TableGrid"/>
        <w:tblW w:w="5000" w:type="pct"/>
        <w:tblLook w:val="04A0" w:firstRow="1" w:lastRow="0" w:firstColumn="1" w:lastColumn="0" w:noHBand="0" w:noVBand="1"/>
      </w:tblPr>
      <w:tblGrid>
        <w:gridCol w:w="10456"/>
      </w:tblGrid>
      <w:tr w:rsidR="00646C02" w:rsidRPr="0055565B" w14:paraId="7684C73D" w14:textId="77777777" w:rsidTr="00AF18E8">
        <w:tc>
          <w:tcPr>
            <w:tcW w:w="5000" w:type="pct"/>
            <w:tcBorders>
              <w:bottom w:val="single" w:sz="4" w:space="0" w:color="auto"/>
            </w:tcBorders>
          </w:tcPr>
          <w:p w14:paraId="18D32024" w14:textId="3F3F80E6" w:rsidR="00646C02" w:rsidRPr="0055565B" w:rsidRDefault="0055565B" w:rsidP="00615B34">
            <w:pPr>
              <w:jc w:val="both"/>
              <w:rPr>
                <w:rFonts w:ascii="Avenir Book" w:eastAsia="Times New Roman" w:hAnsi="Avenir Book" w:cs="Times New Roman"/>
                <w:b/>
                <w:bCs/>
                <w:iCs/>
                <w:color w:val="000000" w:themeColor="text1"/>
                <w:sz w:val="22"/>
                <w:szCs w:val="22"/>
              </w:rPr>
            </w:pPr>
            <w:bookmarkStart w:id="4" w:name="_Hlk202289914"/>
            <w:r w:rsidRPr="0055565B">
              <w:rPr>
                <w:rFonts w:ascii="Avenir Book" w:eastAsia="Times New Roman" w:hAnsi="Avenir Book" w:cs="Times New Roman"/>
                <w:b/>
                <w:bCs/>
                <w:iCs/>
                <w:color w:val="000000" w:themeColor="text1"/>
                <w:sz w:val="22"/>
                <w:szCs w:val="22"/>
              </w:rPr>
              <w:t xml:space="preserve">Historical Background </w:t>
            </w:r>
            <w:r>
              <w:rPr>
                <w:rFonts w:ascii="Avenir Book" w:eastAsia="Times New Roman" w:hAnsi="Avenir Book" w:cs="Times New Roman"/>
                <w:b/>
                <w:bCs/>
                <w:iCs/>
                <w:color w:val="000000" w:themeColor="text1"/>
                <w:sz w:val="22"/>
                <w:szCs w:val="22"/>
              </w:rPr>
              <w:t>o</w:t>
            </w:r>
            <w:r w:rsidRPr="0055565B">
              <w:rPr>
                <w:rFonts w:ascii="Avenir Book" w:eastAsia="Times New Roman" w:hAnsi="Avenir Book" w:cs="Times New Roman"/>
                <w:b/>
                <w:bCs/>
                <w:iCs/>
                <w:color w:val="000000" w:themeColor="text1"/>
                <w:sz w:val="22"/>
                <w:szCs w:val="22"/>
              </w:rPr>
              <w:t xml:space="preserve">f Interest </w:t>
            </w:r>
          </w:p>
        </w:tc>
      </w:tr>
      <w:bookmarkEnd w:id="4"/>
      <w:tr w:rsidR="00646C02" w:rsidRPr="00646C02" w14:paraId="46255D16" w14:textId="77777777" w:rsidTr="00AF18E8">
        <w:tc>
          <w:tcPr>
            <w:tcW w:w="5000" w:type="pct"/>
            <w:tcBorders>
              <w:bottom w:val="nil"/>
            </w:tcBorders>
          </w:tcPr>
          <w:p w14:paraId="4425CB54" w14:textId="05BC4244" w:rsidR="00646C02" w:rsidRDefault="00646C02" w:rsidP="00615B34">
            <w:pPr>
              <w:jc w:val="both"/>
              <w:rPr>
                <w:rFonts w:ascii="Avenir Book" w:eastAsia="Times New Roman" w:hAnsi="Avenir Book" w:cs="Times New Roman"/>
                <w:i/>
                <w:color w:val="000000" w:themeColor="text1"/>
                <w:sz w:val="22"/>
                <w:szCs w:val="22"/>
              </w:rPr>
            </w:pPr>
            <w:r w:rsidRPr="00646C02">
              <w:rPr>
                <w:rFonts w:ascii="Avenir Book" w:eastAsia="Times New Roman" w:hAnsi="Avenir Book" w:cs="Times New Roman"/>
                <w:i/>
                <w:color w:val="000000" w:themeColor="text1"/>
                <w:sz w:val="22"/>
                <w:szCs w:val="22"/>
              </w:rPr>
              <w:t xml:space="preserve">Despite the scientific strength of </w:t>
            </w:r>
            <w:r w:rsidR="00E25F5E">
              <w:rPr>
                <w:rFonts w:ascii="Avenir Book" w:eastAsia="Times New Roman" w:hAnsi="Avenir Book" w:cs="Times New Roman"/>
                <w:i/>
                <w:color w:val="000000" w:themeColor="text1"/>
                <w:sz w:val="22"/>
                <w:szCs w:val="22"/>
              </w:rPr>
              <w:t>MSQPCR</w:t>
            </w:r>
            <w:r w:rsidRPr="00646C02">
              <w:rPr>
                <w:rFonts w:ascii="Avenir Book" w:eastAsia="Times New Roman" w:hAnsi="Avenir Book" w:cs="Times New Roman"/>
                <w:i/>
                <w:color w:val="000000" w:themeColor="text1"/>
                <w:sz w:val="22"/>
                <w:szCs w:val="22"/>
              </w:rPr>
              <w:t xml:space="preserve">, the Environmental Relative Moldiness Index (ERMI), a scoring system which resulted from it, became a source of controversy. Although the original 2007 ERMI paper by Dr. Stephen Vesper and colleagues was epidemiological—intended to establish a quantifiable mold burden index across US homes using data from the American Healthy Homes Survey—it was not designed to support clinical decision-making in individual cases or to serve the diagnostic and forensic purposes outlined in this paper. It was not until 2021 that the US Environmental Protection Agency (EPA) issued a public clarification addressing widespread confusion. </w:t>
            </w:r>
          </w:p>
          <w:p w14:paraId="5EDC57E9" w14:textId="77777777" w:rsidR="002C37FA" w:rsidRPr="00646C02" w:rsidRDefault="002C37FA" w:rsidP="00615B34">
            <w:pPr>
              <w:jc w:val="both"/>
              <w:rPr>
                <w:rFonts w:ascii="Avenir Book" w:eastAsia="Times New Roman" w:hAnsi="Avenir Book" w:cs="Times New Roman"/>
                <w:i/>
                <w:color w:val="000000" w:themeColor="text1"/>
                <w:sz w:val="22"/>
                <w:szCs w:val="22"/>
              </w:rPr>
            </w:pPr>
          </w:p>
        </w:tc>
      </w:tr>
      <w:tr w:rsidR="00646C02" w:rsidRPr="00646C02" w14:paraId="6161D4BB" w14:textId="77777777" w:rsidTr="00AF18E8">
        <w:tc>
          <w:tcPr>
            <w:tcW w:w="5000" w:type="pct"/>
            <w:tcBorders>
              <w:top w:val="nil"/>
            </w:tcBorders>
          </w:tcPr>
          <w:p w14:paraId="60AE83ED" w14:textId="0431B8C0" w:rsidR="00646C02" w:rsidRDefault="00646C02" w:rsidP="00615B34">
            <w:pPr>
              <w:jc w:val="both"/>
              <w:rPr>
                <w:rFonts w:ascii="Avenir Book" w:eastAsia="Times New Roman" w:hAnsi="Avenir Book" w:cs="Times New Roman"/>
                <w:i/>
                <w:color w:val="000000" w:themeColor="text1"/>
                <w:sz w:val="22"/>
                <w:szCs w:val="22"/>
              </w:rPr>
            </w:pPr>
            <w:r w:rsidRPr="00646C02">
              <w:rPr>
                <w:rFonts w:ascii="Avenir Book" w:eastAsia="Times New Roman" w:hAnsi="Avenir Book" w:cs="Times New Roman"/>
                <w:i/>
                <w:color w:val="000000" w:themeColor="text1"/>
                <w:sz w:val="22"/>
                <w:szCs w:val="22"/>
              </w:rPr>
              <w:t>In its bulletin</w:t>
            </w:r>
            <w:r w:rsidRPr="00646C02">
              <w:rPr>
                <w:rFonts w:ascii="Avenir Book" w:eastAsia="Times New Roman" w:hAnsi="Avenir Book" w:cs="Times New Roman"/>
                <w:i/>
                <w:color w:val="000000" w:themeColor="text1"/>
                <w:sz w:val="22"/>
                <w:szCs w:val="22"/>
                <w:vertAlign w:val="superscript"/>
              </w:rPr>
              <w:t>83</w:t>
            </w:r>
            <w:r w:rsidRPr="00646C02">
              <w:rPr>
                <w:rFonts w:ascii="Avenir Book" w:eastAsia="Times New Roman" w:hAnsi="Avenir Book" w:cs="Times New Roman"/>
                <w:i/>
                <w:color w:val="000000" w:themeColor="text1"/>
                <w:sz w:val="22"/>
                <w:szCs w:val="22"/>
              </w:rPr>
              <w:t>, the EPA confirmed that Mold-Specific Quantitative Polymerase Chain Reaction (</w:t>
            </w:r>
            <w:r w:rsidR="00E25F5E">
              <w:rPr>
                <w:rFonts w:ascii="Avenir Book" w:eastAsia="Times New Roman" w:hAnsi="Avenir Book" w:cs="Times New Roman"/>
                <w:i/>
                <w:color w:val="000000" w:themeColor="text1"/>
                <w:sz w:val="22"/>
                <w:szCs w:val="22"/>
              </w:rPr>
              <w:t>MSQPCR</w:t>
            </w:r>
            <w:r w:rsidRPr="00646C02">
              <w:rPr>
                <w:rFonts w:ascii="Avenir Book" w:eastAsia="Times New Roman" w:hAnsi="Avenir Book" w:cs="Times New Roman"/>
                <w:i/>
                <w:color w:val="000000" w:themeColor="text1"/>
                <w:sz w:val="22"/>
                <w:szCs w:val="22"/>
              </w:rPr>
              <w:t>) was developed in response to recommendations from the World Health Organization and the Institute of Medicine. It further affirmed that</w:t>
            </w:r>
            <w:r w:rsidR="00A4440C">
              <w:rPr>
                <w:rFonts w:ascii="Avenir Book" w:eastAsia="Times New Roman" w:hAnsi="Avenir Book" w:cs="Times New Roman"/>
                <w:i/>
                <w:color w:val="000000" w:themeColor="text1"/>
                <w:sz w:val="22"/>
                <w:szCs w:val="22"/>
              </w:rPr>
              <w:t xml:space="preserve"> </w:t>
            </w:r>
            <w:r w:rsidR="00E25F5E">
              <w:rPr>
                <w:rFonts w:ascii="Avenir Book" w:eastAsia="Times New Roman" w:hAnsi="Avenir Book" w:cs="Times New Roman"/>
                <w:i/>
                <w:color w:val="000000" w:themeColor="text1"/>
                <w:sz w:val="22"/>
                <w:szCs w:val="22"/>
              </w:rPr>
              <w:t>MSQPCR</w:t>
            </w:r>
            <w:r w:rsidR="00A4440C">
              <w:rPr>
                <w:rFonts w:ascii="Avenir Book" w:eastAsia="Times New Roman" w:hAnsi="Avenir Book" w:cs="Times New Roman"/>
                <w:i/>
                <w:color w:val="000000" w:themeColor="text1"/>
                <w:sz w:val="22"/>
                <w:szCs w:val="22"/>
              </w:rPr>
              <w:t xml:space="preserve"> </w:t>
            </w:r>
            <w:r w:rsidRPr="00646C02">
              <w:rPr>
                <w:rFonts w:ascii="Avenir Book" w:eastAsia="Times New Roman" w:hAnsi="Avenir Book" w:cs="Times New Roman"/>
                <w:i/>
                <w:color w:val="000000" w:themeColor="text1"/>
                <w:sz w:val="22"/>
                <w:szCs w:val="22"/>
              </w:rPr>
              <w:t xml:space="preserve">remains the only currently available method capable of identifying molds at the species level, regardless of viability. The EPA clarified that the Environmental Relative Moldiness Index (ERMI), intended for research use only, is a derivative of </w:t>
            </w:r>
            <w:r w:rsidR="00E25F5E">
              <w:rPr>
                <w:rFonts w:ascii="Avenir Book" w:eastAsia="Times New Roman" w:hAnsi="Avenir Book" w:cs="Times New Roman"/>
                <w:i/>
                <w:color w:val="000000" w:themeColor="text1"/>
                <w:sz w:val="22"/>
                <w:szCs w:val="22"/>
              </w:rPr>
              <w:t>MSQPCR</w:t>
            </w:r>
            <w:r w:rsidRPr="00646C02">
              <w:rPr>
                <w:rFonts w:ascii="Avenir Book" w:eastAsia="Times New Roman" w:hAnsi="Avenir Book" w:cs="Times New Roman"/>
                <w:i/>
                <w:color w:val="000000" w:themeColor="text1"/>
                <w:sz w:val="22"/>
                <w:szCs w:val="22"/>
              </w:rPr>
              <w:t>. This distinction helped restore the scientific credibility of</w:t>
            </w:r>
            <w:r w:rsidR="00A4440C">
              <w:rPr>
                <w:rFonts w:ascii="Avenir Book" w:eastAsia="Times New Roman" w:hAnsi="Avenir Book" w:cs="Times New Roman"/>
                <w:i/>
                <w:color w:val="000000" w:themeColor="text1"/>
                <w:sz w:val="22"/>
                <w:szCs w:val="22"/>
              </w:rPr>
              <w:t xml:space="preserve"> </w:t>
            </w:r>
            <w:r w:rsidR="00E25F5E">
              <w:rPr>
                <w:rFonts w:ascii="Avenir Book" w:eastAsia="Times New Roman" w:hAnsi="Avenir Book" w:cs="Times New Roman"/>
                <w:i/>
                <w:color w:val="000000" w:themeColor="text1"/>
                <w:sz w:val="22"/>
                <w:szCs w:val="22"/>
              </w:rPr>
              <w:t>MSQPCR</w:t>
            </w:r>
            <w:r w:rsidR="00A4440C">
              <w:rPr>
                <w:rFonts w:ascii="Avenir Book" w:eastAsia="Times New Roman" w:hAnsi="Avenir Book" w:cs="Times New Roman"/>
                <w:i/>
                <w:color w:val="000000" w:themeColor="text1"/>
                <w:sz w:val="22"/>
                <w:szCs w:val="22"/>
              </w:rPr>
              <w:t xml:space="preserve"> </w:t>
            </w:r>
            <w:r w:rsidRPr="00646C02">
              <w:rPr>
                <w:rFonts w:ascii="Avenir Book" w:eastAsia="Times New Roman" w:hAnsi="Avenir Book" w:cs="Times New Roman"/>
                <w:i/>
                <w:color w:val="000000" w:themeColor="text1"/>
                <w:sz w:val="22"/>
                <w:szCs w:val="22"/>
              </w:rPr>
              <w:t>as a valid analytical tool, while also reinforcing the limitations of ERMI as a predictive metric for individual homes.</w:t>
            </w:r>
          </w:p>
          <w:p w14:paraId="2270EDDC" w14:textId="77777777" w:rsidR="002C37FA" w:rsidRPr="00646C02" w:rsidRDefault="002C37FA" w:rsidP="00615B34">
            <w:pPr>
              <w:jc w:val="both"/>
              <w:rPr>
                <w:rFonts w:ascii="Avenir Book" w:eastAsia="Times New Roman" w:hAnsi="Avenir Book" w:cs="Times New Roman"/>
                <w:strike/>
                <w:color w:val="000000" w:themeColor="text1"/>
                <w:sz w:val="22"/>
                <w:szCs w:val="22"/>
              </w:rPr>
            </w:pPr>
          </w:p>
        </w:tc>
      </w:tr>
    </w:tbl>
    <w:p w14:paraId="39FAAA65" w14:textId="77777777" w:rsidR="00646C02" w:rsidRDefault="00646C02" w:rsidP="00AB55F5">
      <w:pPr>
        <w:jc w:val="both"/>
        <w:rPr>
          <w:rFonts w:ascii="Avenir Book" w:eastAsia="Times New Roman" w:hAnsi="Avenir Book" w:cs="Times New Roman"/>
          <w:sz w:val="22"/>
          <w:szCs w:val="22"/>
        </w:rPr>
      </w:pPr>
    </w:p>
    <w:p w14:paraId="037D3AB0" w14:textId="77777777" w:rsidR="00AF18E8" w:rsidRDefault="00AF18E8" w:rsidP="00AB55F5">
      <w:pPr>
        <w:jc w:val="both"/>
        <w:rPr>
          <w:rFonts w:ascii="Avenir Book" w:eastAsia="Times New Roman" w:hAnsi="Avenir Book" w:cs="Times New Roman"/>
          <w:sz w:val="22"/>
          <w:szCs w:val="22"/>
        </w:rPr>
        <w:sectPr w:rsidR="00AF18E8" w:rsidSect="00E55AA9">
          <w:type w:val="continuous"/>
          <w:pgSz w:w="11906" w:h="16838"/>
          <w:pgMar w:top="288" w:right="720" w:bottom="288" w:left="720" w:header="283" w:footer="283" w:gutter="0"/>
          <w:cols w:space="576"/>
          <w:docGrid w:linePitch="360"/>
        </w:sectPr>
      </w:pPr>
    </w:p>
    <w:p w14:paraId="3FE0A5F8" w14:textId="0663B3F0" w:rsidR="00A36B72" w:rsidRDefault="00A36B72" w:rsidP="00AB55F5">
      <w:pPr>
        <w:jc w:val="both"/>
        <w:rPr>
          <w:rFonts w:ascii="Avenir Book" w:eastAsia="Times New Roman" w:hAnsi="Avenir Book" w:cs="Times New Roman"/>
          <w:sz w:val="22"/>
          <w:szCs w:val="22"/>
        </w:rPr>
      </w:pPr>
      <w:r w:rsidRPr="00AB55F5">
        <w:rPr>
          <w:rFonts w:ascii="Avenir Book" w:eastAsia="Times New Roman" w:hAnsi="Avenir Book" w:cs="Times New Roman"/>
          <w:sz w:val="22"/>
          <w:szCs w:val="22"/>
        </w:rPr>
        <w:t xml:space="preserve">The value of this method of analysis grew beyond helping diagnose buildings. In 2016, Dr. Ritchie Shoemaker </w:t>
      </w:r>
      <w:r w:rsidRPr="00AB55F5">
        <w:rPr>
          <w:rFonts w:ascii="Avenir Book" w:eastAsia="Times New Roman" w:hAnsi="Avenir Book" w:cs="Times New Roman"/>
          <w:sz w:val="22"/>
          <w:szCs w:val="22"/>
        </w:rPr>
        <w:t xml:space="preserve">developed HERTSMI-2, a clinically relevant scoring system based on a subset of the ERMI molds. </w:t>
      </w:r>
      <w:sdt>
        <w:sdtPr>
          <w:rPr>
            <w:rFonts w:ascii="Avenir Book" w:hAnsi="Avenir Book" w:cs="Times New Roman"/>
            <w:sz w:val="22"/>
            <w:szCs w:val="22"/>
          </w:rPr>
          <w:tag w:val="goog_rdk_50"/>
          <w:id w:val="-1686748129"/>
        </w:sdtPr>
        <w:sdtEndPr/>
        <w:sdtContent/>
      </w:sdt>
      <w:r w:rsidRPr="00AB55F5">
        <w:rPr>
          <w:rFonts w:ascii="Avenir Book" w:eastAsia="Times New Roman" w:hAnsi="Avenir Book" w:cs="Times New Roman"/>
          <w:sz w:val="22"/>
          <w:szCs w:val="22"/>
        </w:rPr>
        <w:t>In a study</w:t>
      </w:r>
      <w:r w:rsidRPr="00AB55F5">
        <w:rPr>
          <w:rFonts w:ascii="Avenir Book" w:eastAsia="Times New Roman" w:hAnsi="Avenir Book" w:cs="Times New Roman"/>
          <w:sz w:val="22"/>
          <w:szCs w:val="22"/>
          <w:vertAlign w:val="superscript"/>
        </w:rPr>
        <w:t>41</w:t>
      </w:r>
      <w:r w:rsidRPr="00AB55F5">
        <w:rPr>
          <w:rFonts w:ascii="Avenir Book" w:eastAsia="Times New Roman" w:hAnsi="Avenir Book" w:cs="Times New Roman"/>
          <w:sz w:val="22"/>
          <w:szCs w:val="22"/>
        </w:rPr>
        <w:t xml:space="preserve"> </w:t>
      </w:r>
      <w:r w:rsidRPr="00AB55F5">
        <w:rPr>
          <w:rFonts w:ascii="Avenir Book" w:eastAsia="Times New Roman" w:hAnsi="Avenir Book" w:cs="Times New Roman"/>
          <w:sz w:val="22"/>
          <w:szCs w:val="22"/>
        </w:rPr>
        <w:lastRenderedPageBreak/>
        <w:t>of 807 patients diagnosed with Chronic Inflammatory Response Syndrome (CIRS) related to water-damaged buildings, HERTSMI-2 scores were shown to correlate strongly with symptom expression. This provided physicians and IEPs a practical tool for identifying environments likely to provoke health responses in sensitive individuals, one grounded not just in environmental data, but in patient outcomes.</w:t>
      </w:r>
    </w:p>
    <w:p w14:paraId="7E031224" w14:textId="77777777" w:rsidR="00AF18E8" w:rsidRPr="00AB55F5" w:rsidRDefault="00AF18E8" w:rsidP="00AB55F5">
      <w:pPr>
        <w:jc w:val="both"/>
        <w:rPr>
          <w:rFonts w:ascii="Avenir Book" w:hAnsi="Avenir Book" w:cs="Times New Roman"/>
          <w:sz w:val="22"/>
          <w:szCs w:val="22"/>
        </w:rPr>
      </w:pPr>
    </w:p>
    <w:p w14:paraId="284BF5C2" w14:textId="72F5E286" w:rsidR="00A36B72" w:rsidRPr="00AB55F5" w:rsidRDefault="00E25F5E" w:rsidP="00AB55F5">
      <w:pPr>
        <w:jc w:val="both"/>
        <w:rPr>
          <w:rFonts w:ascii="Avenir Book" w:hAnsi="Avenir Book" w:cs="Times New Roman"/>
          <w:sz w:val="22"/>
          <w:szCs w:val="22"/>
        </w:rPr>
      </w:pPr>
      <w:r>
        <w:rPr>
          <w:rFonts w:ascii="Avenir Book" w:hAnsi="Avenir Book" w:cs="Times New Roman"/>
          <w:sz w:val="22"/>
          <w:szCs w:val="22"/>
        </w:rPr>
        <w:t>MSQPCR</w:t>
      </w:r>
      <w:r w:rsidR="00A36B72" w:rsidRPr="00AB55F5">
        <w:rPr>
          <w:rFonts w:ascii="Avenir Book" w:hAnsi="Avenir Book" w:cs="Times New Roman"/>
          <w:sz w:val="22"/>
          <w:szCs w:val="22"/>
        </w:rPr>
        <w:t xml:space="preserve"> is also useful for identifying molds that are difficult to culture, or when precise species identification is necessary; an important consideration when recognizing the more traditional methods of sample collection and analysis (e.g., Spore Trap analysis using Microscopy), and some commonly available Petri dish </w:t>
      </w:r>
      <w:r w:rsidR="00A36B72" w:rsidRPr="00AB55F5">
        <w:rPr>
          <w:rFonts w:ascii="Avenir Book" w:hAnsi="Avenir Book" w:cs="Times New Roman"/>
          <w:sz w:val="22"/>
          <w:szCs w:val="22"/>
        </w:rPr>
        <w:t xml:space="preserve">(culture) plates </w:t>
      </w:r>
      <w:r w:rsidR="00A36B72" w:rsidRPr="00AB55F5">
        <w:rPr>
          <w:rFonts w:ascii="Avenir Book" w:hAnsi="Avenir Book" w:cs="Times New Roman"/>
          <w:i/>
          <w:sz w:val="22"/>
          <w:szCs w:val="22"/>
          <w:u w:val="single"/>
        </w:rPr>
        <w:t>do not speciate</w:t>
      </w:r>
      <w:r w:rsidR="00A36B72" w:rsidRPr="00AB55F5">
        <w:rPr>
          <w:rFonts w:ascii="Avenir Book" w:hAnsi="Avenir Book" w:cs="Times New Roman"/>
          <w:sz w:val="22"/>
          <w:szCs w:val="22"/>
        </w:rPr>
        <w:t xml:space="preserve">. For example, when analyzing a spore trap, the analyst is only able to identify many molds to the </w:t>
      </w:r>
      <w:r w:rsidR="00A36B72" w:rsidRPr="00AB55F5">
        <w:rPr>
          <w:rFonts w:ascii="Avenir Book" w:hAnsi="Avenir Book" w:cs="Times New Roman"/>
          <w:i/>
          <w:sz w:val="22"/>
          <w:szCs w:val="22"/>
        </w:rPr>
        <w:t>Genus</w:t>
      </w:r>
      <w:r w:rsidR="00A36B72" w:rsidRPr="00AB55F5">
        <w:rPr>
          <w:rFonts w:ascii="Avenir Book" w:hAnsi="Avenir Book" w:cs="Times New Roman"/>
          <w:sz w:val="22"/>
          <w:szCs w:val="22"/>
        </w:rPr>
        <w:t xml:space="preserve"> </w:t>
      </w:r>
      <w:r w:rsidR="00644422" w:rsidRPr="00AB55F5">
        <w:rPr>
          <w:rFonts w:ascii="Avenir Book" w:hAnsi="Avenir Book" w:cs="Times New Roman"/>
          <w:sz w:val="22"/>
          <w:szCs w:val="22"/>
        </w:rPr>
        <w:t>level,</w:t>
      </w:r>
      <w:r w:rsidR="00A36B72" w:rsidRPr="00AB55F5">
        <w:rPr>
          <w:rFonts w:ascii="Avenir Book" w:hAnsi="Avenir Book" w:cs="Times New Roman"/>
          <w:sz w:val="22"/>
          <w:szCs w:val="22"/>
        </w:rPr>
        <w:t xml:space="preserve"> an obvious and critical limitation. How possibly then, can the IEP conclude that an elevated or atypical concentration of a mold indoors is "normal" as they are not identifying mold to the species level? In a further perversion, Aspergillus/Penicillium cannot be identified even to a Genus level (2 </w:t>
      </w:r>
      <w:sdt>
        <w:sdtPr>
          <w:rPr>
            <w:rFonts w:ascii="Avenir Book" w:hAnsi="Avenir Book" w:cs="Times New Roman"/>
            <w:sz w:val="22"/>
            <w:szCs w:val="22"/>
          </w:rPr>
          <w:tag w:val="goog_rdk_51"/>
          <w:id w:val="-1246570503"/>
        </w:sdtPr>
        <w:sdtEndPr/>
        <w:sdtContent/>
      </w:sdt>
      <w:r w:rsidR="00A36B72" w:rsidRPr="00AB55F5">
        <w:rPr>
          <w:rFonts w:ascii="Avenir Book" w:hAnsi="Avenir Book" w:cs="Times New Roman"/>
          <w:sz w:val="22"/>
          <w:szCs w:val="22"/>
        </w:rPr>
        <w:t>Genera representing &gt;900 individual species</w:t>
      </w:r>
      <w:r w:rsidR="00A36B72" w:rsidRPr="00AB55F5">
        <w:rPr>
          <w:rFonts w:ascii="Avenir Book" w:hAnsi="Avenir Book" w:cs="Times New Roman"/>
          <w:sz w:val="22"/>
          <w:szCs w:val="22"/>
          <w:vertAlign w:val="superscript"/>
        </w:rPr>
        <w:t>84,85</w:t>
      </w:r>
      <w:r w:rsidR="00A36B72" w:rsidRPr="00AB55F5">
        <w:rPr>
          <w:rFonts w:ascii="Avenir Book" w:hAnsi="Avenir Book" w:cs="Times New Roman"/>
          <w:sz w:val="22"/>
          <w:szCs w:val="22"/>
        </w:rPr>
        <w:t xml:space="preserve">) as the spores are small and spherical, lacking distinguishing features. This naturally results in </w:t>
      </w:r>
      <w:r w:rsidR="00644422" w:rsidRPr="00AB55F5">
        <w:rPr>
          <w:rFonts w:ascii="Avenir Book" w:hAnsi="Avenir Book" w:cs="Times New Roman"/>
          <w:sz w:val="22"/>
          <w:szCs w:val="22"/>
        </w:rPr>
        <w:t>an elevated risk</w:t>
      </w:r>
      <w:r w:rsidR="00A36B72" w:rsidRPr="00AB55F5">
        <w:rPr>
          <w:rFonts w:ascii="Avenir Book" w:hAnsi="Avenir Book" w:cs="Times New Roman"/>
          <w:sz w:val="22"/>
          <w:szCs w:val="22"/>
        </w:rPr>
        <w:t xml:space="preserve"> of false negatives. With this knowledge, the IEP, limiting themselves to spore traps collection, are limited by assuming all identified Genera are the same species-when they are not.</w:t>
      </w:r>
      <w:r w:rsidR="00EC628A">
        <w:rPr>
          <w:rFonts w:ascii="Avenir Book" w:hAnsi="Avenir Book" w:cs="Times New Roman"/>
          <w:sz w:val="22"/>
          <w:szCs w:val="22"/>
        </w:rPr>
        <w:t xml:space="preserve"> </w:t>
      </w:r>
    </w:p>
    <w:p w14:paraId="76412782" w14:textId="77777777" w:rsidR="00AF18E8" w:rsidRDefault="00AF18E8" w:rsidP="00AB55F5">
      <w:pPr>
        <w:jc w:val="both"/>
        <w:rPr>
          <w:rFonts w:ascii="Avenir Book" w:hAnsi="Avenir Book" w:cs="Times New Roman"/>
          <w:sz w:val="22"/>
          <w:szCs w:val="22"/>
        </w:rPr>
        <w:sectPr w:rsidR="00AF18E8" w:rsidSect="00AF18E8">
          <w:type w:val="continuous"/>
          <w:pgSz w:w="11906" w:h="16838"/>
          <w:pgMar w:top="288" w:right="720" w:bottom="288" w:left="720" w:header="283" w:footer="283" w:gutter="0"/>
          <w:cols w:num="2" w:space="576"/>
          <w:docGrid w:linePitch="360"/>
        </w:sectPr>
      </w:pPr>
    </w:p>
    <w:p w14:paraId="051FE514" w14:textId="77777777" w:rsidR="00A36B72" w:rsidRPr="00AB55F5" w:rsidRDefault="00A36B72" w:rsidP="00AB55F5">
      <w:pPr>
        <w:jc w:val="both"/>
        <w:rPr>
          <w:rFonts w:ascii="Avenir Book" w:hAnsi="Avenir Book" w:cs="Times New Roman"/>
          <w:sz w:val="22"/>
          <w:szCs w:val="22"/>
        </w:rPr>
      </w:pPr>
    </w:p>
    <w:tbl>
      <w:tblPr>
        <w:tblStyle w:val="TableGrid"/>
        <w:tblW w:w="5000" w:type="pct"/>
        <w:tblLook w:val="04A0" w:firstRow="1" w:lastRow="0" w:firstColumn="1" w:lastColumn="0" w:noHBand="0" w:noVBand="1"/>
      </w:tblPr>
      <w:tblGrid>
        <w:gridCol w:w="10456"/>
      </w:tblGrid>
      <w:tr w:rsidR="0055565B" w:rsidRPr="0055565B" w14:paraId="12D8355A" w14:textId="77777777" w:rsidTr="0055565B">
        <w:tc>
          <w:tcPr>
            <w:tcW w:w="5000" w:type="pct"/>
          </w:tcPr>
          <w:p w14:paraId="70B96157" w14:textId="0156A554" w:rsidR="0055565B" w:rsidRPr="0055565B" w:rsidRDefault="00AF18E8" w:rsidP="00B75227">
            <w:pPr>
              <w:tabs>
                <w:tab w:val="left" w:pos="270"/>
              </w:tabs>
              <w:jc w:val="both"/>
              <w:rPr>
                <w:rFonts w:ascii="Avenir Book" w:hAnsi="Avenir Book" w:cs="Times New Roman"/>
                <w:b/>
                <w:bCs/>
                <w:sz w:val="22"/>
                <w:szCs w:val="22"/>
                <w:u w:val="single"/>
              </w:rPr>
            </w:pPr>
            <w:r w:rsidRPr="0055565B">
              <w:rPr>
                <w:rFonts w:ascii="Avenir Book" w:hAnsi="Avenir Book" w:cs="Times New Roman"/>
                <w:b/>
                <w:bCs/>
                <w:sz w:val="22"/>
                <w:szCs w:val="22"/>
                <w:u w:val="single"/>
              </w:rPr>
              <w:t xml:space="preserve">Additional Limitations </w:t>
            </w:r>
            <w:r>
              <w:rPr>
                <w:rFonts w:ascii="Avenir Book" w:hAnsi="Avenir Book" w:cs="Times New Roman"/>
                <w:b/>
                <w:bCs/>
                <w:sz w:val="22"/>
                <w:szCs w:val="22"/>
                <w:u w:val="single"/>
              </w:rPr>
              <w:t>o</w:t>
            </w:r>
            <w:r w:rsidRPr="0055565B">
              <w:rPr>
                <w:rFonts w:ascii="Avenir Book" w:hAnsi="Avenir Book" w:cs="Times New Roman"/>
                <w:b/>
                <w:bCs/>
                <w:sz w:val="22"/>
                <w:szCs w:val="22"/>
                <w:u w:val="single"/>
              </w:rPr>
              <w:t>f Spore Traps</w:t>
            </w:r>
          </w:p>
        </w:tc>
      </w:tr>
      <w:tr w:rsidR="0055565B" w:rsidRPr="0055565B" w14:paraId="4F4B579E" w14:textId="77777777" w:rsidTr="00AF18E8">
        <w:tc>
          <w:tcPr>
            <w:tcW w:w="5000" w:type="pct"/>
            <w:tcBorders>
              <w:bottom w:val="nil"/>
            </w:tcBorders>
          </w:tcPr>
          <w:p w14:paraId="0BF15CB7" w14:textId="39A23878" w:rsidR="0055565B" w:rsidRDefault="0055565B" w:rsidP="00B75227">
            <w:pPr>
              <w:pStyle w:val="NormalWeb"/>
              <w:tabs>
                <w:tab w:val="left" w:pos="270"/>
              </w:tabs>
              <w:spacing w:before="0" w:beforeAutospacing="0" w:after="0" w:afterAutospacing="0"/>
              <w:jc w:val="both"/>
              <w:rPr>
                <w:rFonts w:ascii="Avenir Book" w:hAnsi="Avenir Book"/>
                <w:sz w:val="22"/>
                <w:szCs w:val="22"/>
              </w:rPr>
            </w:pPr>
            <w:r w:rsidRPr="0055565B">
              <w:rPr>
                <w:rFonts w:ascii="Avenir Book" w:hAnsi="Avenir Book"/>
                <w:sz w:val="22"/>
                <w:szCs w:val="22"/>
              </w:rPr>
              <w:t xml:space="preserve">Spore trap testing, while commonly used in indoor environmental assessments, has several important limitations. It provides only a brief snapshot—typically five to ten minutes—of airborne particulates, and results can be heavily influenced by factors such as human movement, the height of the sampling device, and HVAC system dynamics. Sampling </w:t>
            </w:r>
            <w:r w:rsidR="00644422" w:rsidRPr="0055565B">
              <w:rPr>
                <w:rFonts w:ascii="Avenir Book" w:hAnsi="Avenir Book"/>
                <w:sz w:val="22"/>
                <w:szCs w:val="22"/>
              </w:rPr>
              <w:t>a specific location</w:t>
            </w:r>
            <w:r w:rsidRPr="0055565B">
              <w:rPr>
                <w:rFonts w:ascii="Avenir Book" w:hAnsi="Avenir Book"/>
                <w:sz w:val="22"/>
                <w:szCs w:val="22"/>
              </w:rPr>
              <w:t xml:space="preserve"> does not reflect conditions throughout a larger area, and it offers little insight into the location of potential mold reservoirs.</w:t>
            </w:r>
          </w:p>
          <w:p w14:paraId="0B838328" w14:textId="77777777" w:rsidR="00AF18E8" w:rsidRPr="0055565B" w:rsidRDefault="00AF18E8" w:rsidP="00B75227">
            <w:pPr>
              <w:pStyle w:val="NormalWeb"/>
              <w:tabs>
                <w:tab w:val="left" w:pos="270"/>
              </w:tabs>
              <w:spacing w:before="0" w:beforeAutospacing="0" w:after="0" w:afterAutospacing="0"/>
              <w:jc w:val="both"/>
              <w:rPr>
                <w:rFonts w:ascii="Avenir Book" w:hAnsi="Avenir Book"/>
                <w:sz w:val="22"/>
                <w:szCs w:val="22"/>
              </w:rPr>
            </w:pPr>
          </w:p>
        </w:tc>
      </w:tr>
      <w:tr w:rsidR="0055565B" w:rsidRPr="0055565B" w14:paraId="2EF80220" w14:textId="77777777" w:rsidTr="00AF18E8">
        <w:tc>
          <w:tcPr>
            <w:tcW w:w="5000" w:type="pct"/>
            <w:tcBorders>
              <w:top w:val="nil"/>
              <w:left w:val="single" w:sz="4" w:space="0" w:color="auto"/>
              <w:bottom w:val="single" w:sz="4" w:space="0" w:color="auto"/>
              <w:right w:val="single" w:sz="4" w:space="0" w:color="auto"/>
            </w:tcBorders>
          </w:tcPr>
          <w:p w14:paraId="257DE8A4" w14:textId="60B153F6" w:rsidR="0055565B" w:rsidRDefault="0055565B" w:rsidP="00B75227">
            <w:pPr>
              <w:pStyle w:val="NormalWeb"/>
              <w:tabs>
                <w:tab w:val="left" w:pos="270"/>
              </w:tabs>
              <w:spacing w:before="0" w:beforeAutospacing="0" w:after="0" w:afterAutospacing="0"/>
              <w:jc w:val="both"/>
              <w:rPr>
                <w:rFonts w:ascii="Avenir Book" w:hAnsi="Avenir Book"/>
                <w:sz w:val="22"/>
                <w:szCs w:val="22"/>
              </w:rPr>
            </w:pPr>
            <w:r w:rsidRPr="0055565B">
              <w:rPr>
                <w:rFonts w:ascii="Avenir Book" w:hAnsi="Avenir Book"/>
                <w:sz w:val="22"/>
                <w:szCs w:val="22"/>
              </w:rPr>
              <w:t xml:space="preserve">Furthermore, spore trap analysis is limited in precision. It typically identifies organisms only to the genus level, not the species, which precludes any meaningful correlation with mycotoxin production. Analysis of the samples </w:t>
            </w:r>
            <w:r w:rsidR="00FD24F2">
              <w:rPr>
                <w:rFonts w:ascii="Avenir Book" w:hAnsi="Avenir Book"/>
                <w:sz w:val="22"/>
                <w:szCs w:val="22"/>
              </w:rPr>
              <w:t>is</w:t>
            </w:r>
            <w:r w:rsidR="00FD24F2" w:rsidRPr="0055565B">
              <w:rPr>
                <w:rFonts w:ascii="Avenir Book" w:hAnsi="Avenir Book"/>
                <w:sz w:val="22"/>
                <w:szCs w:val="22"/>
              </w:rPr>
              <w:t xml:space="preserve"> </w:t>
            </w:r>
            <w:r w:rsidRPr="0055565B">
              <w:rPr>
                <w:rFonts w:ascii="Avenir Book" w:hAnsi="Avenir Book"/>
                <w:sz w:val="22"/>
                <w:szCs w:val="22"/>
              </w:rPr>
              <w:t xml:space="preserve">also prone to human error; the quality of the mycologist will often result in errors in genus identification. Further, the morphology of some </w:t>
            </w:r>
            <w:r w:rsidR="00FD24F2">
              <w:rPr>
                <w:rFonts w:ascii="Avenir Book" w:hAnsi="Avenir Book"/>
                <w:sz w:val="22"/>
                <w:szCs w:val="22"/>
              </w:rPr>
              <w:t>genera</w:t>
            </w:r>
            <w:r w:rsidR="00FD24F2" w:rsidRPr="0055565B">
              <w:rPr>
                <w:rFonts w:ascii="Avenir Book" w:hAnsi="Avenir Book"/>
                <w:sz w:val="22"/>
                <w:szCs w:val="22"/>
              </w:rPr>
              <w:t xml:space="preserve"> </w:t>
            </w:r>
            <w:r w:rsidRPr="0055565B">
              <w:rPr>
                <w:rFonts w:ascii="Avenir Book" w:hAnsi="Avenir Book"/>
                <w:sz w:val="22"/>
                <w:szCs w:val="22"/>
              </w:rPr>
              <w:t xml:space="preserve">and species </w:t>
            </w:r>
            <w:r w:rsidR="004E66BD">
              <w:rPr>
                <w:rFonts w:ascii="Avenir Book" w:hAnsi="Avenir Book"/>
                <w:sz w:val="22"/>
                <w:szCs w:val="22"/>
              </w:rPr>
              <w:t>is</w:t>
            </w:r>
            <w:r w:rsidR="004E66BD" w:rsidRPr="0055565B">
              <w:rPr>
                <w:rFonts w:ascii="Avenir Book" w:hAnsi="Avenir Book"/>
                <w:sz w:val="22"/>
                <w:szCs w:val="22"/>
              </w:rPr>
              <w:t xml:space="preserve"> </w:t>
            </w:r>
            <w:r w:rsidRPr="0055565B">
              <w:rPr>
                <w:rFonts w:ascii="Avenir Book" w:hAnsi="Avenir Book"/>
                <w:sz w:val="22"/>
                <w:szCs w:val="22"/>
              </w:rPr>
              <w:t>so alike</w:t>
            </w:r>
            <w:r w:rsidR="005D3007">
              <w:rPr>
                <w:rFonts w:ascii="Avenir Book" w:hAnsi="Avenir Book"/>
                <w:sz w:val="22"/>
                <w:szCs w:val="22"/>
                <w:lang w:val="en-US"/>
              </w:rPr>
              <w:t xml:space="preserve">, so </w:t>
            </w:r>
            <w:r w:rsidRPr="0055565B">
              <w:rPr>
                <w:rFonts w:ascii="Avenir Book" w:hAnsi="Avenir Book"/>
                <w:sz w:val="22"/>
                <w:szCs w:val="22"/>
              </w:rPr>
              <w:t>differentiation is not possible (e.g., Aspergillus/Penicillium species vs Trichoderma species</w:t>
            </w:r>
            <w:r w:rsidRPr="0055565B">
              <w:rPr>
                <w:rFonts w:ascii="Avenir Book" w:hAnsi="Avenir Book"/>
                <w:sz w:val="22"/>
                <w:szCs w:val="22"/>
                <w:vertAlign w:val="superscript"/>
              </w:rPr>
              <w:t>151</w:t>
            </w:r>
            <w:r w:rsidRPr="0055565B">
              <w:rPr>
                <w:rFonts w:ascii="Avenir Book" w:hAnsi="Avenir Book"/>
                <w:sz w:val="22"/>
                <w:szCs w:val="22"/>
              </w:rPr>
              <w:t>).</w:t>
            </w:r>
          </w:p>
          <w:p w14:paraId="186D2A2F" w14:textId="77777777" w:rsidR="00AF18E8" w:rsidRPr="0055565B" w:rsidRDefault="00AF18E8" w:rsidP="00B75227">
            <w:pPr>
              <w:pStyle w:val="NormalWeb"/>
              <w:tabs>
                <w:tab w:val="left" w:pos="270"/>
              </w:tabs>
              <w:spacing w:before="0" w:beforeAutospacing="0" w:after="0" w:afterAutospacing="0"/>
              <w:jc w:val="both"/>
              <w:rPr>
                <w:rFonts w:ascii="Avenir Book" w:hAnsi="Avenir Book"/>
                <w:sz w:val="22"/>
                <w:szCs w:val="22"/>
              </w:rPr>
            </w:pPr>
          </w:p>
        </w:tc>
      </w:tr>
    </w:tbl>
    <w:p w14:paraId="549AEDBD" w14:textId="77777777" w:rsidR="00AF18E8" w:rsidRDefault="00AF18E8" w:rsidP="00AB55F5">
      <w:pPr>
        <w:jc w:val="both"/>
        <w:rPr>
          <w:rFonts w:ascii="Avenir Book" w:hAnsi="Avenir Book" w:cs="Times New Roman"/>
          <w:sz w:val="22"/>
          <w:szCs w:val="22"/>
        </w:rPr>
      </w:pPr>
    </w:p>
    <w:p w14:paraId="7132FC4E" w14:textId="77777777" w:rsidR="00960895" w:rsidRDefault="00960895" w:rsidP="00AB55F5">
      <w:pPr>
        <w:jc w:val="both"/>
        <w:rPr>
          <w:rFonts w:ascii="Avenir Book" w:hAnsi="Avenir Book" w:cs="Times New Roman"/>
          <w:sz w:val="22"/>
          <w:szCs w:val="22"/>
        </w:rPr>
        <w:sectPr w:rsidR="00960895" w:rsidSect="00E55AA9">
          <w:type w:val="continuous"/>
          <w:pgSz w:w="11906" w:h="16838"/>
          <w:pgMar w:top="288" w:right="720" w:bottom="288" w:left="720" w:header="283" w:footer="283" w:gutter="0"/>
          <w:cols w:space="576"/>
          <w:docGrid w:linePitch="360"/>
        </w:sectPr>
      </w:pPr>
    </w:p>
    <w:p w14:paraId="39641A3D" w14:textId="68D8CF2C" w:rsidR="00A36B72" w:rsidRPr="00AB55F5" w:rsidRDefault="00E25F5E" w:rsidP="00AB55F5">
      <w:pPr>
        <w:jc w:val="both"/>
        <w:rPr>
          <w:rFonts w:ascii="Avenir Book" w:hAnsi="Avenir Book" w:cs="Times New Roman"/>
          <w:sz w:val="22"/>
          <w:szCs w:val="22"/>
        </w:rPr>
      </w:pPr>
      <w:r>
        <w:rPr>
          <w:rFonts w:ascii="Avenir Book" w:hAnsi="Avenir Book" w:cs="Times New Roman"/>
          <w:sz w:val="22"/>
          <w:szCs w:val="22"/>
        </w:rPr>
        <w:t>MSQPCR</w:t>
      </w:r>
      <w:r w:rsidR="00A36B72" w:rsidRPr="00AB55F5">
        <w:rPr>
          <w:rFonts w:ascii="Avenir Book" w:hAnsi="Avenir Book" w:cs="Times New Roman"/>
          <w:sz w:val="22"/>
          <w:szCs w:val="22"/>
        </w:rPr>
        <w:t xml:space="preserve"> analysis offers a clear advantage when realizing that this method, this Gold Standard of analysis, also detects the </w:t>
      </w:r>
      <w:r w:rsidR="00956119">
        <w:rPr>
          <w:rFonts w:ascii="Avenir Book" w:hAnsi="Avenir Book" w:cs="Times New Roman"/>
          <w:sz w:val="22"/>
          <w:szCs w:val="22"/>
          <w:lang w:val="en-US"/>
        </w:rPr>
        <w:t xml:space="preserve">mold DNA associated with </w:t>
      </w:r>
      <w:r w:rsidR="00A36B72" w:rsidRPr="00AB55F5">
        <w:rPr>
          <w:rFonts w:ascii="Avenir Book" w:hAnsi="Avenir Book" w:cs="Times New Roman"/>
          <w:sz w:val="22"/>
          <w:szCs w:val="22"/>
        </w:rPr>
        <w:t xml:space="preserve">~300-1000 mold fragments that originate from these same species. </w:t>
      </w:r>
      <w:sdt>
        <w:sdtPr>
          <w:rPr>
            <w:rFonts w:ascii="Avenir Book" w:hAnsi="Avenir Book" w:cs="Times New Roman"/>
            <w:sz w:val="22"/>
            <w:szCs w:val="22"/>
          </w:rPr>
          <w:tag w:val="goog_rdk_52"/>
          <w:id w:val="-243349824"/>
          <w:showingPlcHdr/>
        </w:sdtPr>
        <w:sdtEndPr/>
        <w:sdtContent>
          <w:r w:rsidR="00EB5372">
            <w:rPr>
              <w:rFonts w:ascii="Avenir Book" w:hAnsi="Avenir Book" w:cs="Times New Roman"/>
              <w:sz w:val="22"/>
              <w:szCs w:val="22"/>
            </w:rPr>
            <w:t xml:space="preserve">     </w:t>
          </w:r>
        </w:sdtContent>
      </w:sdt>
      <w:r w:rsidR="00A36B72" w:rsidRPr="00AB55F5">
        <w:rPr>
          <w:rFonts w:ascii="Avenir Book" w:hAnsi="Avenir Book" w:cs="Times New Roman"/>
          <w:sz w:val="22"/>
          <w:szCs w:val="22"/>
        </w:rPr>
        <w:t>Peer-reviewed and published papers</w:t>
      </w:r>
      <w:r w:rsidR="00A36B72" w:rsidRPr="00AB55F5">
        <w:rPr>
          <w:rFonts w:ascii="Avenir Book" w:hAnsi="Avenir Book" w:cs="Times New Roman"/>
          <w:sz w:val="22"/>
          <w:szCs w:val="22"/>
          <w:vertAlign w:val="superscript"/>
        </w:rPr>
        <w:t>86-90</w:t>
      </w:r>
      <w:r w:rsidR="00A36B72" w:rsidRPr="00AB55F5">
        <w:rPr>
          <w:rFonts w:ascii="Avenir Book" w:hAnsi="Avenir Book" w:cs="Times New Roman"/>
          <w:sz w:val="22"/>
          <w:szCs w:val="22"/>
        </w:rPr>
        <w:t xml:space="preserve"> have documented the superiority of</w:t>
      </w:r>
      <w:r w:rsidR="00A4440C">
        <w:rPr>
          <w:rFonts w:ascii="Avenir Book" w:hAnsi="Avenir Book" w:cs="Times New Roman"/>
          <w:sz w:val="22"/>
          <w:szCs w:val="22"/>
        </w:rPr>
        <w:t xml:space="preserve"> </w:t>
      </w:r>
      <w:r>
        <w:rPr>
          <w:rFonts w:ascii="Avenir Book" w:hAnsi="Avenir Book" w:cs="Times New Roman"/>
          <w:sz w:val="22"/>
          <w:szCs w:val="22"/>
        </w:rPr>
        <w:t>MSQPCR</w:t>
      </w:r>
      <w:r w:rsidR="00A4440C">
        <w:rPr>
          <w:rFonts w:ascii="Avenir Book" w:hAnsi="Avenir Book" w:cs="Times New Roman"/>
          <w:sz w:val="22"/>
          <w:szCs w:val="22"/>
        </w:rPr>
        <w:t xml:space="preserve"> </w:t>
      </w:r>
      <w:r w:rsidR="00A36B72" w:rsidRPr="00AB55F5">
        <w:rPr>
          <w:rFonts w:ascii="Avenir Book" w:hAnsi="Avenir Book" w:cs="Times New Roman"/>
          <w:sz w:val="22"/>
          <w:szCs w:val="22"/>
        </w:rPr>
        <w:t>analysis identifying Water Damaged Buildings (WDB) over the more traditional methods outlined above. For the IEP performing medically important assessments, there is no alternative to</w:t>
      </w:r>
      <w:r w:rsidR="00A4440C">
        <w:rPr>
          <w:rFonts w:ascii="Avenir Book" w:hAnsi="Avenir Book" w:cs="Times New Roman"/>
          <w:sz w:val="22"/>
          <w:szCs w:val="22"/>
        </w:rPr>
        <w:t xml:space="preserve"> </w:t>
      </w:r>
      <w:r>
        <w:rPr>
          <w:rFonts w:ascii="Avenir Book" w:hAnsi="Avenir Book" w:cs="Times New Roman"/>
          <w:sz w:val="22"/>
          <w:szCs w:val="22"/>
        </w:rPr>
        <w:t>MSQPCR</w:t>
      </w:r>
      <w:r w:rsidR="00A4440C">
        <w:rPr>
          <w:rFonts w:ascii="Avenir Book" w:hAnsi="Avenir Book" w:cs="Times New Roman"/>
          <w:sz w:val="22"/>
          <w:szCs w:val="22"/>
        </w:rPr>
        <w:t xml:space="preserve"> </w:t>
      </w:r>
      <w:r w:rsidR="00A36B72" w:rsidRPr="00AB55F5">
        <w:rPr>
          <w:rFonts w:ascii="Avenir Book" w:hAnsi="Avenir Book" w:cs="Times New Roman"/>
          <w:sz w:val="22"/>
          <w:szCs w:val="22"/>
        </w:rPr>
        <w:t xml:space="preserve">dust sampling. There are, however, </w:t>
      </w:r>
      <w:r w:rsidR="00B042BB" w:rsidRPr="00AB55F5">
        <w:rPr>
          <w:rFonts w:ascii="Avenir Book" w:hAnsi="Avenir Book" w:cs="Times New Roman"/>
          <w:sz w:val="22"/>
          <w:szCs w:val="22"/>
        </w:rPr>
        <w:t>compl</w:t>
      </w:r>
      <w:r w:rsidR="00B042BB">
        <w:rPr>
          <w:rFonts w:ascii="Avenir Book" w:hAnsi="Avenir Book" w:cs="Times New Roman"/>
          <w:sz w:val="22"/>
          <w:szCs w:val="22"/>
        </w:rPr>
        <w:t>e</w:t>
      </w:r>
      <w:r w:rsidR="00B042BB" w:rsidRPr="00AB55F5">
        <w:rPr>
          <w:rFonts w:ascii="Avenir Book" w:hAnsi="Avenir Book" w:cs="Times New Roman"/>
          <w:sz w:val="22"/>
          <w:szCs w:val="22"/>
        </w:rPr>
        <w:t xml:space="preserve">mentary </w:t>
      </w:r>
      <w:r w:rsidR="00A36B72" w:rsidRPr="00AB55F5">
        <w:rPr>
          <w:rFonts w:ascii="Avenir Book" w:hAnsi="Avenir Book" w:cs="Times New Roman"/>
          <w:sz w:val="22"/>
          <w:szCs w:val="22"/>
        </w:rPr>
        <w:t>(ancillary) sample collection and analysis methods (e.g., culturing of dust to test for the viability fraction of identifiable species–offering a better idea of whether the source is active or old) that are often utilized</w:t>
      </w:r>
      <w:r w:rsidR="00B042BB">
        <w:rPr>
          <w:rFonts w:ascii="Avenir Book" w:hAnsi="Avenir Book" w:cs="Times New Roman"/>
          <w:sz w:val="22"/>
          <w:szCs w:val="22"/>
        </w:rPr>
        <w:t>,</w:t>
      </w:r>
      <w:r w:rsidR="00A36B72" w:rsidRPr="00AB55F5">
        <w:rPr>
          <w:rFonts w:ascii="Avenir Book" w:hAnsi="Avenir Book" w:cs="Times New Roman"/>
          <w:sz w:val="22"/>
          <w:szCs w:val="22"/>
        </w:rPr>
        <w:t xml:space="preserve"> including what is discussed below.</w:t>
      </w:r>
    </w:p>
    <w:p w14:paraId="37FD8861" w14:textId="77777777" w:rsidR="00AF18E8" w:rsidRDefault="00AF18E8" w:rsidP="00AB55F5">
      <w:pPr>
        <w:jc w:val="both"/>
        <w:rPr>
          <w:rFonts w:ascii="Avenir Book" w:hAnsi="Avenir Book" w:cs="Times New Roman"/>
          <w:sz w:val="22"/>
          <w:szCs w:val="22"/>
        </w:rPr>
      </w:pPr>
    </w:p>
    <w:p w14:paraId="504F6549" w14:textId="569F4A98" w:rsidR="00A36B72" w:rsidRDefault="00A36B72" w:rsidP="00AB55F5">
      <w:pPr>
        <w:jc w:val="both"/>
        <w:rPr>
          <w:rFonts w:ascii="Avenir Book" w:hAnsi="Avenir Book" w:cs="Times New Roman"/>
          <w:sz w:val="22"/>
          <w:szCs w:val="22"/>
        </w:rPr>
      </w:pPr>
      <w:r w:rsidRPr="00AB55F5">
        <w:rPr>
          <w:rFonts w:ascii="Avenir Book" w:hAnsi="Avenir Book" w:cs="Times New Roman"/>
          <w:sz w:val="22"/>
          <w:szCs w:val="22"/>
        </w:rPr>
        <w:t>Understanding the influence of outdoor environmental conditions remains critically important. Local and seasonal variations can significantly affect the microbial and particulate background concentrations found indoors, commonly referred to as Condition 1. To appropriately interpret indoor environmental data, the IEP must gather representative outdoor (control) samples. This contextual information is essential for distinguishing between normal background levels and medically relevant contamination during a comprehensive assessment.</w:t>
      </w:r>
    </w:p>
    <w:p w14:paraId="1E5AE4E4" w14:textId="77777777" w:rsidR="00AF18E8" w:rsidRPr="00AB55F5" w:rsidRDefault="00AF18E8" w:rsidP="00AB55F5">
      <w:pPr>
        <w:jc w:val="both"/>
        <w:rPr>
          <w:rFonts w:ascii="Avenir Book" w:hAnsi="Avenir Book" w:cs="Times New Roman"/>
          <w:sz w:val="22"/>
          <w:szCs w:val="22"/>
        </w:rPr>
      </w:pPr>
    </w:p>
    <w:p w14:paraId="10ED742B" w14:textId="3713FE7B" w:rsidR="00A36B72" w:rsidRDefault="00A36B72" w:rsidP="00AB55F5">
      <w:pPr>
        <w:jc w:val="both"/>
        <w:rPr>
          <w:rFonts w:ascii="Avenir Book" w:hAnsi="Avenir Book" w:cs="Times New Roman"/>
          <w:sz w:val="22"/>
          <w:szCs w:val="22"/>
        </w:rPr>
      </w:pPr>
      <w:r w:rsidRPr="00AB55F5">
        <w:rPr>
          <w:rFonts w:ascii="Avenir Book" w:hAnsi="Avenir Book" w:cs="Times New Roman"/>
          <w:sz w:val="22"/>
          <w:szCs w:val="22"/>
        </w:rPr>
        <w:t>In summary,</w:t>
      </w:r>
      <w:r w:rsidR="00A4440C">
        <w:rPr>
          <w:rFonts w:ascii="Avenir Book" w:hAnsi="Avenir Book" w:cs="Times New Roman"/>
          <w:sz w:val="22"/>
          <w:szCs w:val="22"/>
        </w:rPr>
        <w:t xml:space="preserve"> </w:t>
      </w:r>
      <w:r w:rsidR="00E25F5E">
        <w:rPr>
          <w:rFonts w:ascii="Avenir Book" w:hAnsi="Avenir Book" w:cs="Times New Roman"/>
          <w:sz w:val="22"/>
          <w:szCs w:val="22"/>
        </w:rPr>
        <w:t>MSQPCR</w:t>
      </w:r>
      <w:r w:rsidR="00A4440C">
        <w:rPr>
          <w:rFonts w:ascii="Avenir Book" w:hAnsi="Avenir Book" w:cs="Times New Roman"/>
          <w:sz w:val="22"/>
          <w:szCs w:val="22"/>
        </w:rPr>
        <w:t xml:space="preserve"> </w:t>
      </w:r>
      <w:r w:rsidRPr="00AB55F5">
        <w:rPr>
          <w:rFonts w:ascii="Avenir Book" w:hAnsi="Avenir Book" w:cs="Times New Roman"/>
          <w:sz w:val="22"/>
          <w:szCs w:val="22"/>
        </w:rPr>
        <w:t xml:space="preserve">analysis of dust samples stands out as the most precise and clinically relevant method for identifying species-level molds and their associated fragments in water-damaged buildings. Its ability to detect both viable and non-viable material—including hundreds to thousands of microscopic fragments per species—positions it well above traditional methods such as culturing and microscopy in both scope and sensitivity. </w:t>
      </w:r>
      <w:r w:rsidRPr="00AB55F5">
        <w:rPr>
          <w:rFonts w:ascii="Avenir Book" w:hAnsi="Avenir Book" w:cs="Times New Roman"/>
          <w:sz w:val="22"/>
          <w:szCs w:val="22"/>
        </w:rPr>
        <w:t xml:space="preserve">The </w:t>
      </w:r>
      <w:sdt>
        <w:sdtPr>
          <w:rPr>
            <w:rFonts w:ascii="Avenir Book" w:hAnsi="Avenir Book" w:cs="Times New Roman"/>
            <w:sz w:val="22"/>
            <w:szCs w:val="22"/>
          </w:rPr>
          <w:tag w:val="goog_rdk_53"/>
          <w:id w:val="-2025175359"/>
        </w:sdtPr>
        <w:sdtEndPr/>
        <w:sdtContent/>
      </w:sdt>
      <w:r w:rsidRPr="00AB55F5">
        <w:rPr>
          <w:rFonts w:ascii="Avenir Book" w:hAnsi="Avenir Book" w:cs="Times New Roman"/>
          <w:sz w:val="22"/>
          <w:szCs w:val="22"/>
        </w:rPr>
        <w:t>peer-reviewed literature strongly supports its application in medically important assessments, where accurate source characterization and exposure potential are critical. While</w:t>
      </w:r>
      <w:r w:rsidR="00A4440C">
        <w:rPr>
          <w:rFonts w:ascii="Avenir Book" w:hAnsi="Avenir Book" w:cs="Times New Roman"/>
          <w:sz w:val="22"/>
          <w:szCs w:val="22"/>
        </w:rPr>
        <w:t xml:space="preserve"> </w:t>
      </w:r>
      <w:r w:rsidR="00E25F5E">
        <w:rPr>
          <w:rFonts w:ascii="Avenir Book" w:hAnsi="Avenir Book" w:cs="Times New Roman"/>
          <w:sz w:val="22"/>
          <w:szCs w:val="22"/>
        </w:rPr>
        <w:t>MSQPCR</w:t>
      </w:r>
      <w:r w:rsidR="00A4440C">
        <w:rPr>
          <w:rFonts w:ascii="Avenir Book" w:hAnsi="Avenir Book" w:cs="Times New Roman"/>
          <w:sz w:val="22"/>
          <w:szCs w:val="22"/>
        </w:rPr>
        <w:t xml:space="preserve"> </w:t>
      </w:r>
      <w:r w:rsidRPr="00AB55F5">
        <w:rPr>
          <w:rFonts w:ascii="Avenir Book" w:hAnsi="Avenir Book" w:cs="Times New Roman"/>
          <w:sz w:val="22"/>
          <w:szCs w:val="22"/>
        </w:rPr>
        <w:t xml:space="preserve">serves as the foundational tool for these investigations, additional sampling approaches—such as culturing for viability—can offer valuable supplementary insights, especially in understanding source activity. </w:t>
      </w:r>
    </w:p>
    <w:p w14:paraId="27972EC1" w14:textId="77777777" w:rsidR="00407128" w:rsidRPr="00AB55F5" w:rsidRDefault="00407128" w:rsidP="00AB55F5">
      <w:pPr>
        <w:jc w:val="both"/>
        <w:rPr>
          <w:rFonts w:ascii="Avenir Book" w:hAnsi="Avenir Book" w:cs="Times New Roman"/>
          <w:sz w:val="22"/>
          <w:szCs w:val="22"/>
        </w:rPr>
      </w:pPr>
    </w:p>
    <w:p w14:paraId="008E5683" w14:textId="77777777" w:rsidR="00A36B72" w:rsidRPr="00AB55F5" w:rsidRDefault="00A36B72" w:rsidP="00AB55F5">
      <w:pPr>
        <w:jc w:val="both"/>
        <w:rPr>
          <w:rFonts w:ascii="Avenir Book" w:hAnsi="Avenir Book" w:cs="Times New Roman"/>
          <w:b/>
          <w:bCs/>
          <w:i/>
          <w:iCs/>
          <w:sz w:val="22"/>
          <w:szCs w:val="22"/>
        </w:rPr>
      </w:pPr>
      <w:r w:rsidRPr="00AB55F5">
        <w:rPr>
          <w:rFonts w:ascii="Avenir Book" w:hAnsi="Avenir Book" w:cs="Times New Roman"/>
          <w:b/>
          <w:bCs/>
          <w:i/>
          <w:iCs/>
          <w:sz w:val="22"/>
          <w:szCs w:val="22"/>
        </w:rPr>
        <w:t>Endotoxins (Gram-negative bacteria)</w:t>
      </w:r>
    </w:p>
    <w:p w14:paraId="6F999E9A" w14:textId="4B50B161" w:rsidR="00A36B72" w:rsidRDefault="00A36B72" w:rsidP="00AB55F5">
      <w:pPr>
        <w:jc w:val="both"/>
        <w:rPr>
          <w:rFonts w:ascii="Avenir Book" w:hAnsi="Avenir Book" w:cs="Times New Roman"/>
          <w:sz w:val="22"/>
          <w:szCs w:val="22"/>
        </w:rPr>
      </w:pPr>
      <w:r w:rsidRPr="00AB55F5">
        <w:rPr>
          <w:rFonts w:ascii="Avenir Book" w:hAnsi="Avenir Book" w:cs="Times New Roman"/>
          <w:sz w:val="22"/>
          <w:szCs w:val="22"/>
        </w:rPr>
        <w:t>Water</w:t>
      </w:r>
      <w:r w:rsidR="007178C1">
        <w:rPr>
          <w:rFonts w:ascii="Avenir Book" w:hAnsi="Avenir Book" w:cs="Times New Roman"/>
          <w:sz w:val="22"/>
          <w:szCs w:val="22"/>
          <w:lang w:val="en-US"/>
        </w:rPr>
        <w:t>-</w:t>
      </w:r>
      <w:r w:rsidRPr="00AB55F5">
        <w:rPr>
          <w:rFonts w:ascii="Avenir Book" w:hAnsi="Avenir Book" w:cs="Times New Roman"/>
          <w:sz w:val="22"/>
          <w:szCs w:val="22"/>
        </w:rPr>
        <w:t xml:space="preserve">Damaged Buildings (WDBs) are </w:t>
      </w:r>
      <w:r w:rsidR="00B042BB">
        <w:rPr>
          <w:rFonts w:ascii="Avenir Book" w:hAnsi="Avenir Book" w:cs="Times New Roman"/>
          <w:sz w:val="22"/>
          <w:szCs w:val="22"/>
        </w:rPr>
        <w:t>affected by more than just</w:t>
      </w:r>
      <w:r w:rsidR="006A696A">
        <w:rPr>
          <w:rFonts w:ascii="Avenir Book" w:hAnsi="Avenir Book" w:cs="Times New Roman"/>
          <w:sz w:val="22"/>
          <w:szCs w:val="22"/>
        </w:rPr>
        <w:t xml:space="preserve"> </w:t>
      </w:r>
      <w:r w:rsidR="00644422">
        <w:rPr>
          <w:rFonts w:ascii="Avenir Book" w:hAnsi="Avenir Book" w:cs="Times New Roman"/>
          <w:sz w:val="22"/>
          <w:szCs w:val="22"/>
        </w:rPr>
        <w:t xml:space="preserve">mold </w:t>
      </w:r>
      <w:r w:rsidR="00644422" w:rsidRPr="00AB55F5">
        <w:rPr>
          <w:rFonts w:ascii="Avenir Book" w:hAnsi="Avenir Book" w:cs="Times New Roman"/>
          <w:sz w:val="22"/>
          <w:szCs w:val="22"/>
        </w:rPr>
        <w:t>growth</w:t>
      </w:r>
      <w:r w:rsidRPr="00AB55F5">
        <w:rPr>
          <w:rFonts w:ascii="Avenir Book" w:hAnsi="Avenir Book" w:cs="Times New Roman"/>
          <w:sz w:val="22"/>
          <w:szCs w:val="22"/>
        </w:rPr>
        <w:t xml:space="preserve">. Bacteria are </w:t>
      </w:r>
      <w:sdt>
        <w:sdtPr>
          <w:rPr>
            <w:rFonts w:ascii="Avenir Book" w:hAnsi="Avenir Book" w:cs="Times New Roman"/>
            <w:sz w:val="22"/>
            <w:szCs w:val="22"/>
          </w:rPr>
          <w:tag w:val="goog_rdk_54"/>
          <w:id w:val="1428659950"/>
        </w:sdtPr>
        <w:sdtEndPr/>
        <w:sdtContent/>
      </w:sdt>
      <w:sdt>
        <w:sdtPr>
          <w:rPr>
            <w:rFonts w:ascii="Avenir Book" w:hAnsi="Avenir Book" w:cs="Times New Roman"/>
            <w:sz w:val="22"/>
            <w:szCs w:val="22"/>
          </w:rPr>
          <w:tag w:val="goog_rdk_55"/>
          <w:id w:val="-1494829897"/>
        </w:sdtPr>
        <w:sdtEndPr/>
        <w:sdtContent/>
      </w:sdt>
      <w:r w:rsidRPr="00AB55F5">
        <w:rPr>
          <w:rFonts w:ascii="Avenir Book" w:hAnsi="Avenir Book" w:cs="Times New Roman"/>
          <w:sz w:val="22"/>
          <w:szCs w:val="22"/>
        </w:rPr>
        <w:t>well-documented microbes</w:t>
      </w:r>
      <w:r w:rsidRPr="00AB55F5">
        <w:rPr>
          <w:rFonts w:ascii="Avenir Book" w:hAnsi="Avenir Book" w:cs="Times New Roman"/>
          <w:sz w:val="22"/>
          <w:szCs w:val="22"/>
          <w:vertAlign w:val="superscript"/>
        </w:rPr>
        <w:t>91-103</w:t>
      </w:r>
      <w:r w:rsidRPr="00AB55F5">
        <w:rPr>
          <w:rFonts w:ascii="Avenir Book" w:hAnsi="Avenir Book" w:cs="Times New Roman"/>
          <w:sz w:val="22"/>
          <w:szCs w:val="22"/>
        </w:rPr>
        <w:t xml:space="preserve"> that occupy adversely affected spaces. Endotoxins produced by gram-negative bacteria are, like mold, ubiquitous outdoors. Yet, a client who has experienced a significant sewage loss in their home would </w:t>
      </w:r>
      <w:r w:rsidR="00644422" w:rsidRPr="00AB55F5">
        <w:rPr>
          <w:rFonts w:ascii="Avenir Book" w:hAnsi="Avenir Book" w:cs="Times New Roman"/>
          <w:sz w:val="22"/>
          <w:szCs w:val="22"/>
        </w:rPr>
        <w:t>have</w:t>
      </w:r>
      <w:r w:rsidRPr="00AB55F5">
        <w:rPr>
          <w:rFonts w:ascii="Avenir Book" w:hAnsi="Avenir Book" w:cs="Times New Roman"/>
          <w:sz w:val="22"/>
          <w:szCs w:val="22"/>
        </w:rPr>
        <w:t xml:space="preserve"> elevated concentrations of endotoxins indoors. This </w:t>
      </w:r>
      <w:r w:rsidR="00644422" w:rsidRPr="00AB55F5">
        <w:rPr>
          <w:rFonts w:ascii="Avenir Book" w:hAnsi="Avenir Book" w:cs="Times New Roman"/>
          <w:sz w:val="22"/>
          <w:szCs w:val="22"/>
        </w:rPr>
        <w:t>exposure</w:t>
      </w:r>
      <w:r w:rsidRPr="00AB55F5">
        <w:rPr>
          <w:rFonts w:ascii="Avenir Book" w:hAnsi="Avenir Book" w:cs="Times New Roman"/>
          <w:sz w:val="22"/>
          <w:szCs w:val="22"/>
        </w:rPr>
        <w:t xml:space="preserve"> has been a focus among practitioners for decades.</w:t>
      </w:r>
    </w:p>
    <w:p w14:paraId="2D14E18D" w14:textId="77777777" w:rsidR="00407128" w:rsidRPr="00AB55F5" w:rsidRDefault="00407128" w:rsidP="00AB55F5">
      <w:pPr>
        <w:jc w:val="both"/>
        <w:rPr>
          <w:rFonts w:ascii="Avenir Book" w:hAnsi="Avenir Book" w:cs="Times New Roman"/>
          <w:sz w:val="22"/>
          <w:szCs w:val="22"/>
        </w:rPr>
      </w:pPr>
    </w:p>
    <w:p w14:paraId="736670EE" w14:textId="1FA5BFDB" w:rsidR="00A36B72" w:rsidRPr="00AB55F5" w:rsidRDefault="00A36B72" w:rsidP="00AB55F5">
      <w:pPr>
        <w:jc w:val="both"/>
        <w:rPr>
          <w:rFonts w:ascii="Avenir Book" w:hAnsi="Avenir Book" w:cs="Times New Roman"/>
          <w:sz w:val="22"/>
          <w:szCs w:val="22"/>
          <w:vertAlign w:val="superscript"/>
        </w:rPr>
      </w:pPr>
      <w:r w:rsidRPr="00AB55F5">
        <w:rPr>
          <w:rFonts w:ascii="Avenir Book" w:hAnsi="Avenir Book" w:cs="Times New Roman"/>
          <w:sz w:val="22"/>
          <w:szCs w:val="22"/>
        </w:rPr>
        <w:t xml:space="preserve">Endotoxins, components of the outer membrane of Gram-negative bacteria, are potent inflammatory agents capable of triggering a cascade of immune responses in </w:t>
      </w:r>
      <w:sdt>
        <w:sdtPr>
          <w:rPr>
            <w:rFonts w:ascii="Avenir Book" w:hAnsi="Avenir Book" w:cs="Times New Roman"/>
            <w:sz w:val="22"/>
            <w:szCs w:val="22"/>
          </w:rPr>
          <w:tag w:val="goog_rdk_56"/>
          <w:id w:val="-1785614972"/>
        </w:sdtPr>
        <w:sdtEndPr/>
        <w:sdtContent/>
      </w:sdt>
      <w:r w:rsidRPr="00AB55F5">
        <w:rPr>
          <w:rFonts w:ascii="Avenir Book" w:hAnsi="Avenir Book" w:cs="Times New Roman"/>
          <w:sz w:val="22"/>
          <w:szCs w:val="22"/>
        </w:rPr>
        <w:t>sensitive individuals</w:t>
      </w:r>
      <w:r w:rsidRPr="00AB55F5">
        <w:rPr>
          <w:rFonts w:ascii="Avenir Book" w:hAnsi="Avenir Book" w:cs="Times New Roman"/>
          <w:sz w:val="22"/>
          <w:szCs w:val="22"/>
          <w:vertAlign w:val="superscript"/>
        </w:rPr>
        <w:t>104-108</w:t>
      </w:r>
      <w:r w:rsidRPr="00AB55F5">
        <w:rPr>
          <w:rFonts w:ascii="Avenir Book" w:hAnsi="Avenir Book" w:cs="Times New Roman"/>
          <w:sz w:val="22"/>
          <w:szCs w:val="22"/>
        </w:rPr>
        <w:t>. When released into indoor environments—particularly water-damaged buildings (WDBs)—these microbial fragments can aerosolize and be inhaled or settle into dust reservoirs. For individuals with Chronic Inflammatory Response Syndrome (CIRS), endotoxins represent a critical exposure concern, as their presence may perpetuate immune activation and contribute to the multisystem symptoms characteristic of the condition</w:t>
      </w:r>
      <w:r w:rsidRPr="00AB55F5">
        <w:rPr>
          <w:rFonts w:ascii="Avenir Book" w:hAnsi="Avenir Book" w:cs="Times New Roman"/>
          <w:sz w:val="22"/>
          <w:szCs w:val="22"/>
          <w:vertAlign w:val="superscript"/>
        </w:rPr>
        <w:t>109-116.</w:t>
      </w:r>
      <w:r w:rsidR="00EC628A">
        <w:rPr>
          <w:rFonts w:ascii="Avenir Book" w:hAnsi="Avenir Book" w:cs="Times New Roman"/>
          <w:sz w:val="22"/>
          <w:szCs w:val="22"/>
          <w:vertAlign w:val="superscript"/>
        </w:rPr>
        <w:t xml:space="preserve"> </w:t>
      </w:r>
    </w:p>
    <w:p w14:paraId="3C0750EC" w14:textId="4BA7506F" w:rsidR="00A36B72" w:rsidRDefault="00A36B72" w:rsidP="00AB55F5">
      <w:pPr>
        <w:jc w:val="both"/>
        <w:rPr>
          <w:rFonts w:ascii="Avenir Book" w:hAnsi="Avenir Book" w:cs="Times New Roman"/>
          <w:color w:val="FF0000"/>
          <w:sz w:val="22"/>
          <w:szCs w:val="22"/>
        </w:rPr>
      </w:pPr>
      <w:r w:rsidRPr="00AB55F5">
        <w:rPr>
          <w:rFonts w:ascii="Avenir Book" w:hAnsi="Avenir Book" w:cs="Times New Roman"/>
          <w:sz w:val="22"/>
          <w:szCs w:val="22"/>
        </w:rPr>
        <w:t xml:space="preserve">Unlike mold spores, which can often be detected visually or through DNA-based testing, endotoxins are submicron particles that require biochemical analysis to quantify. </w:t>
      </w:r>
      <w:r w:rsidRPr="00AB55F5">
        <w:rPr>
          <w:rFonts w:ascii="Avenir Book" w:hAnsi="Avenir Book" w:cs="Times New Roman"/>
          <w:sz w:val="22"/>
          <w:szCs w:val="22"/>
        </w:rPr>
        <w:lastRenderedPageBreak/>
        <w:t xml:space="preserve">The Limulus Amebocyte Lysate (LAL) assay, developed initially to detect endotoxins in </w:t>
      </w:r>
      <w:sdt>
        <w:sdtPr>
          <w:rPr>
            <w:rFonts w:ascii="Avenir Book" w:hAnsi="Avenir Book" w:cs="Times New Roman"/>
            <w:sz w:val="22"/>
            <w:szCs w:val="22"/>
          </w:rPr>
          <w:tag w:val="goog_rdk_59"/>
          <w:id w:val="432188297"/>
        </w:sdtPr>
        <w:sdtEndPr/>
        <w:sdtContent/>
      </w:sdt>
      <w:r w:rsidR="00EB5372">
        <w:rPr>
          <w:rFonts w:ascii="Avenir Book" w:hAnsi="Avenir Book" w:cs="Times New Roman"/>
          <w:sz w:val="22"/>
          <w:szCs w:val="22"/>
          <w:lang w:val="en-US"/>
        </w:rPr>
        <w:t>p</w:t>
      </w:r>
      <w:r w:rsidR="00BC63BC" w:rsidRPr="00AB55F5">
        <w:rPr>
          <w:rFonts w:ascii="Avenir Book" w:hAnsi="Avenir Book" w:cs="Times New Roman"/>
          <w:sz w:val="22"/>
          <w:szCs w:val="22"/>
        </w:rPr>
        <w:t>pharmaceutical</w:t>
      </w:r>
      <w:r w:rsidRPr="00AB55F5">
        <w:rPr>
          <w:rFonts w:ascii="Avenir Book" w:hAnsi="Avenir Book" w:cs="Times New Roman"/>
          <w:sz w:val="22"/>
          <w:szCs w:val="22"/>
        </w:rPr>
        <w:t xml:space="preserve"> and medical settings</w:t>
      </w:r>
      <w:r w:rsidRPr="00BC63BC">
        <w:rPr>
          <w:rFonts w:ascii="Avenir Book" w:hAnsi="Avenir Book" w:cs="Times New Roman"/>
          <w:sz w:val="22"/>
          <w:szCs w:val="22"/>
          <w:vertAlign w:val="superscript"/>
        </w:rPr>
        <w:t>117</w:t>
      </w:r>
      <w:r w:rsidRPr="00AB55F5">
        <w:rPr>
          <w:rFonts w:ascii="Avenir Book" w:hAnsi="Avenir Book" w:cs="Times New Roman"/>
          <w:sz w:val="22"/>
          <w:szCs w:val="22"/>
        </w:rPr>
        <w:t xml:space="preserve"> ha</w:t>
      </w:r>
      <w:r w:rsidR="00555B3A">
        <w:rPr>
          <w:rFonts w:ascii="Avenir Book" w:hAnsi="Avenir Book" w:cs="Times New Roman"/>
          <w:sz w:val="22"/>
          <w:szCs w:val="22"/>
          <w:lang w:val="en-US"/>
        </w:rPr>
        <w:t>s</w:t>
      </w:r>
      <w:r w:rsidRPr="00AB55F5">
        <w:rPr>
          <w:rFonts w:ascii="Avenir Book" w:hAnsi="Avenir Book" w:cs="Times New Roman"/>
          <w:sz w:val="22"/>
          <w:szCs w:val="22"/>
        </w:rPr>
        <w:t xml:space="preserve"> been adapted for environmental testing. This assay uses the blood of horseshoe crabs, which coagulates in the presence of endotoxins, offering a sensitive means of detection. LAL analysis measures </w:t>
      </w:r>
      <w:r w:rsidRPr="00AB55F5">
        <w:rPr>
          <w:rFonts w:ascii="Avenir Book" w:hAnsi="Avenir Book" w:cs="Times New Roman"/>
          <w:sz w:val="22"/>
          <w:szCs w:val="22"/>
        </w:rPr>
        <w:t>endotoxin levels in terms of Endotoxin Units (EU) per milligram of dust or square meter of surface area, providing a valuable metric for evaluating bacterial load and inflammatory potential within the indoor environment.</w:t>
      </w:r>
    </w:p>
    <w:p w14:paraId="4C06418F" w14:textId="77777777" w:rsidR="00960895" w:rsidRDefault="00960895" w:rsidP="00AB55F5">
      <w:pPr>
        <w:jc w:val="both"/>
        <w:rPr>
          <w:rFonts w:ascii="Avenir Book" w:hAnsi="Avenir Book" w:cs="Times New Roman"/>
          <w:color w:val="FF0000"/>
          <w:sz w:val="22"/>
          <w:szCs w:val="22"/>
        </w:rPr>
        <w:sectPr w:rsidR="00960895" w:rsidSect="00960895">
          <w:type w:val="continuous"/>
          <w:pgSz w:w="11906" w:h="16838"/>
          <w:pgMar w:top="288" w:right="720" w:bottom="288" w:left="720" w:header="283" w:footer="283" w:gutter="0"/>
          <w:cols w:num="2" w:space="576"/>
          <w:docGrid w:linePitch="360"/>
        </w:sectPr>
      </w:pPr>
    </w:p>
    <w:p w14:paraId="5E45A047" w14:textId="77777777" w:rsidR="00960895" w:rsidRPr="00AB55F5" w:rsidRDefault="00960895" w:rsidP="00AB55F5">
      <w:pPr>
        <w:jc w:val="both"/>
        <w:rPr>
          <w:rFonts w:ascii="Avenir Book" w:hAnsi="Avenir Book" w:cs="Times New Roman"/>
          <w:color w:val="FF0000"/>
          <w:sz w:val="22"/>
          <w:szCs w:val="22"/>
        </w:rPr>
      </w:pPr>
    </w:p>
    <w:tbl>
      <w:tblPr>
        <w:tblStyle w:val="TableGrid"/>
        <w:tblW w:w="5000" w:type="pct"/>
        <w:tblLook w:val="04A0" w:firstRow="1" w:lastRow="0" w:firstColumn="1" w:lastColumn="0" w:noHBand="0" w:noVBand="1"/>
      </w:tblPr>
      <w:tblGrid>
        <w:gridCol w:w="10456"/>
      </w:tblGrid>
      <w:tr w:rsidR="00AB55F5" w:rsidRPr="00960895" w14:paraId="04CD2DD0" w14:textId="77777777" w:rsidTr="00960895">
        <w:tc>
          <w:tcPr>
            <w:tcW w:w="5000" w:type="pct"/>
          </w:tcPr>
          <w:p w14:paraId="7EFE81F9" w14:textId="3FA94C1D" w:rsidR="00AB55F5" w:rsidRPr="00960895" w:rsidRDefault="00960895" w:rsidP="00AB55F5">
            <w:pPr>
              <w:jc w:val="both"/>
              <w:rPr>
                <w:rFonts w:ascii="Avenir Book" w:eastAsia="Times New Roman" w:hAnsi="Avenir Book" w:cs="Times New Roman"/>
                <w:b/>
                <w:bCs/>
                <w:iCs/>
                <w:color w:val="000000" w:themeColor="text1"/>
                <w:sz w:val="22"/>
                <w:szCs w:val="22"/>
                <w:u w:val="single"/>
              </w:rPr>
            </w:pPr>
            <w:r w:rsidRPr="00960895">
              <w:rPr>
                <w:rFonts w:ascii="Avenir Book" w:eastAsia="Times New Roman" w:hAnsi="Avenir Book" w:cs="Times New Roman"/>
                <w:b/>
                <w:bCs/>
                <w:iCs/>
                <w:color w:val="000000" w:themeColor="text1"/>
                <w:sz w:val="22"/>
                <w:szCs w:val="22"/>
                <w:u w:val="single"/>
              </w:rPr>
              <w:t xml:space="preserve">Historical Background Of Interest </w:t>
            </w:r>
          </w:p>
        </w:tc>
      </w:tr>
      <w:tr w:rsidR="00AB55F5" w:rsidRPr="00AB55F5" w14:paraId="5049DF37" w14:textId="77777777" w:rsidTr="00960895">
        <w:tc>
          <w:tcPr>
            <w:tcW w:w="5000" w:type="pct"/>
          </w:tcPr>
          <w:p w14:paraId="28A44382" w14:textId="1B736B55" w:rsidR="00AB55F5" w:rsidRDefault="00AB55F5" w:rsidP="00AB55F5">
            <w:pPr>
              <w:jc w:val="both"/>
              <w:rPr>
                <w:rFonts w:ascii="Avenir Book" w:hAnsi="Avenir Book" w:cs="Times New Roman"/>
                <w:i/>
                <w:color w:val="000000" w:themeColor="text1"/>
                <w:sz w:val="22"/>
                <w:szCs w:val="22"/>
              </w:rPr>
            </w:pPr>
            <w:r w:rsidRPr="00AB55F5">
              <w:rPr>
                <w:rFonts w:ascii="Avenir Book" w:hAnsi="Avenir Book" w:cs="Times New Roman"/>
                <w:i/>
                <w:color w:val="000000" w:themeColor="text1"/>
                <w:sz w:val="22"/>
                <w:szCs w:val="22"/>
              </w:rPr>
              <w:t xml:space="preserve">Although the most widely used method for detecting endotoxins has historically been the </w:t>
            </w:r>
            <w:r w:rsidRPr="00AB55F5">
              <w:rPr>
                <w:rFonts w:ascii="Avenir Book" w:hAnsi="Avenir Book" w:cs="Times New Roman"/>
                <w:bCs/>
                <w:i/>
                <w:color w:val="000000" w:themeColor="text1"/>
                <w:sz w:val="22"/>
                <w:szCs w:val="22"/>
              </w:rPr>
              <w:t>Limulus Amebocyte Lysate (LAL) assay, derived from the blood of horseshoe crabs</w:t>
            </w:r>
            <w:r w:rsidR="006B6F01">
              <w:rPr>
                <w:rFonts w:ascii="Avenir Book" w:hAnsi="Avenir Book" w:cs="Times New Roman"/>
                <w:bCs/>
                <w:i/>
                <w:color w:val="000000" w:themeColor="text1"/>
                <w:sz w:val="22"/>
                <w:szCs w:val="22"/>
              </w:rPr>
              <w:t>, w</w:t>
            </w:r>
            <w:r w:rsidRPr="00AB55F5">
              <w:rPr>
                <w:rFonts w:ascii="Avenir Book" w:hAnsi="Avenir Book" w:cs="Times New Roman"/>
                <w:bCs/>
                <w:i/>
                <w:color w:val="000000" w:themeColor="text1"/>
                <w:sz w:val="22"/>
                <w:szCs w:val="22"/>
              </w:rPr>
              <w:t>hile effective, the process of harvesting LAL involves bleeding live crabs and has become a significant contributor to population declines of these ecologically important species. In response, an alternative method based on recombinant Factor C (rFC)</w:t>
            </w:r>
            <w:r w:rsidRPr="00AB55F5">
              <w:rPr>
                <w:rFonts w:ascii="Avenir Book" w:hAnsi="Avenir Book" w:cs="Times New Roman"/>
                <w:bCs/>
                <w:i/>
                <w:color w:val="000000" w:themeColor="text1"/>
                <w:sz w:val="22"/>
                <w:szCs w:val="22"/>
                <w:vertAlign w:val="superscript"/>
              </w:rPr>
              <w:t>118</w:t>
            </w:r>
            <w:r w:rsidRPr="00AB55F5">
              <w:rPr>
                <w:rFonts w:ascii="Avenir Book" w:hAnsi="Avenir Book" w:cs="Times New Roman"/>
                <w:bCs/>
                <w:i/>
                <w:color w:val="000000" w:themeColor="text1"/>
                <w:sz w:val="22"/>
                <w:szCs w:val="22"/>
              </w:rPr>
              <w:t xml:space="preserve"> has been developed and is now widely used in Europe. Although rFC has not yet been adopted in the United</w:t>
            </w:r>
            <w:r w:rsidRPr="00AB55F5">
              <w:rPr>
                <w:rFonts w:ascii="Avenir Book" w:hAnsi="Avenir Book" w:cs="Times New Roman"/>
                <w:i/>
                <w:color w:val="000000" w:themeColor="text1"/>
                <w:sz w:val="22"/>
                <w:szCs w:val="22"/>
              </w:rPr>
              <w:t xml:space="preserve"> States due to regulatory lag, its use in environmental applications—such as assessing endotoxin presence in buildings—could provide a more sustainable approach and reduce the ecological burden on horseshoe crab populations.</w:t>
            </w:r>
          </w:p>
          <w:p w14:paraId="4E633DE2" w14:textId="77777777" w:rsidR="00960895" w:rsidRPr="00AB55F5" w:rsidRDefault="00960895" w:rsidP="00AB55F5">
            <w:pPr>
              <w:jc w:val="both"/>
              <w:rPr>
                <w:rFonts w:ascii="Avenir Book" w:hAnsi="Avenir Book" w:cs="Times New Roman"/>
                <w:i/>
                <w:color w:val="000000" w:themeColor="text1"/>
                <w:sz w:val="22"/>
                <w:szCs w:val="22"/>
              </w:rPr>
            </w:pPr>
          </w:p>
        </w:tc>
      </w:tr>
    </w:tbl>
    <w:p w14:paraId="34CA8074" w14:textId="77777777" w:rsidR="00A36B72" w:rsidRPr="00AB55F5" w:rsidRDefault="00644422" w:rsidP="00AB55F5">
      <w:pPr>
        <w:jc w:val="both"/>
        <w:rPr>
          <w:rFonts w:ascii="Avenir Book" w:hAnsi="Avenir Book" w:cs="Times New Roman"/>
          <w:sz w:val="22"/>
          <w:szCs w:val="22"/>
        </w:rPr>
      </w:pPr>
      <w:sdt>
        <w:sdtPr>
          <w:rPr>
            <w:rFonts w:ascii="Avenir Book" w:hAnsi="Avenir Book" w:cs="Times New Roman"/>
            <w:sz w:val="22"/>
            <w:szCs w:val="22"/>
          </w:rPr>
          <w:tag w:val="goog_rdk_61"/>
          <w:id w:val="-1001731436"/>
        </w:sdtPr>
        <w:sdtEndPr/>
        <w:sdtContent/>
      </w:sdt>
    </w:p>
    <w:p w14:paraId="52C98180" w14:textId="77777777" w:rsidR="00063772" w:rsidRDefault="00063772" w:rsidP="00AB55F5">
      <w:pPr>
        <w:jc w:val="both"/>
        <w:rPr>
          <w:rFonts w:ascii="Avenir Book" w:hAnsi="Avenir Book" w:cs="Times New Roman"/>
          <w:sz w:val="22"/>
          <w:szCs w:val="22"/>
        </w:rPr>
        <w:sectPr w:rsidR="00063772" w:rsidSect="00E55AA9">
          <w:type w:val="continuous"/>
          <w:pgSz w:w="11906" w:h="16838"/>
          <w:pgMar w:top="288" w:right="720" w:bottom="288" w:left="720" w:header="283" w:footer="283" w:gutter="0"/>
          <w:cols w:space="576"/>
          <w:docGrid w:linePitch="360"/>
        </w:sectPr>
      </w:pPr>
    </w:p>
    <w:p w14:paraId="57AEABB8" w14:textId="25CDFB20" w:rsidR="00A36B72" w:rsidRDefault="00A36B72" w:rsidP="00AB55F5">
      <w:pPr>
        <w:jc w:val="both"/>
        <w:rPr>
          <w:rFonts w:ascii="Avenir Book" w:hAnsi="Avenir Book" w:cs="Times New Roman"/>
          <w:sz w:val="22"/>
          <w:szCs w:val="22"/>
        </w:rPr>
      </w:pPr>
      <w:r w:rsidRPr="00AB55F5">
        <w:rPr>
          <w:rFonts w:ascii="Avenir Book" w:hAnsi="Avenir Book" w:cs="Times New Roman"/>
          <w:sz w:val="22"/>
          <w:szCs w:val="22"/>
        </w:rPr>
        <w:t xml:space="preserve">Several laboratories have integrated the LAL assay into the suite of analytical tools they offer, allowing practitioners to obtain quantifiable endotoxin data from settled dust samples. This methodology offers a non-invasive and </w:t>
      </w:r>
      <w:r w:rsidR="00644422" w:rsidRPr="00AB55F5">
        <w:rPr>
          <w:rFonts w:ascii="Avenir Book" w:hAnsi="Avenir Book" w:cs="Times New Roman"/>
          <w:sz w:val="22"/>
          <w:szCs w:val="22"/>
        </w:rPr>
        <w:t>extremely sensitive</w:t>
      </w:r>
      <w:r w:rsidRPr="00AB55F5">
        <w:rPr>
          <w:rFonts w:ascii="Avenir Book" w:hAnsi="Avenir Book" w:cs="Times New Roman"/>
          <w:sz w:val="22"/>
          <w:szCs w:val="22"/>
        </w:rPr>
        <w:t xml:space="preserve"> approach for assessing environments where bacterial fragments may be contributing to health issues. By analyzing endotoxin levels alongside mold-specific quantitative PCR (</w:t>
      </w:r>
      <w:r w:rsidR="00E25F5E">
        <w:rPr>
          <w:rFonts w:ascii="Avenir Book" w:hAnsi="Avenir Book" w:cs="Times New Roman"/>
          <w:sz w:val="22"/>
          <w:szCs w:val="22"/>
        </w:rPr>
        <w:t>MSQPCR</w:t>
      </w:r>
      <w:r w:rsidRPr="00AB55F5">
        <w:rPr>
          <w:rFonts w:ascii="Avenir Book" w:hAnsi="Avenir Book" w:cs="Times New Roman"/>
          <w:sz w:val="22"/>
          <w:szCs w:val="22"/>
        </w:rPr>
        <w:t xml:space="preserve">) data, IEPs can gain a more comprehensive understanding of microbial exposures </w:t>
      </w:r>
      <w:r w:rsidR="00644422" w:rsidRPr="00AB55F5">
        <w:rPr>
          <w:rFonts w:ascii="Avenir Book" w:hAnsi="Avenir Book" w:cs="Times New Roman"/>
          <w:sz w:val="22"/>
          <w:szCs w:val="22"/>
        </w:rPr>
        <w:t>in each</w:t>
      </w:r>
      <w:r w:rsidRPr="00AB55F5">
        <w:rPr>
          <w:rFonts w:ascii="Avenir Book" w:hAnsi="Avenir Book" w:cs="Times New Roman"/>
          <w:sz w:val="22"/>
          <w:szCs w:val="22"/>
        </w:rPr>
        <w:t xml:space="preserve"> space.</w:t>
      </w:r>
    </w:p>
    <w:p w14:paraId="5AD56DA4" w14:textId="77777777" w:rsidR="00960895" w:rsidRPr="00AB55F5" w:rsidRDefault="00960895" w:rsidP="00AB55F5">
      <w:pPr>
        <w:jc w:val="both"/>
        <w:rPr>
          <w:rFonts w:ascii="Avenir Book" w:hAnsi="Avenir Book" w:cs="Times New Roman"/>
          <w:sz w:val="22"/>
          <w:szCs w:val="22"/>
        </w:rPr>
      </w:pPr>
    </w:p>
    <w:p w14:paraId="62FE99EB" w14:textId="720DC6FA" w:rsidR="00A36B72" w:rsidRPr="009821E4" w:rsidRDefault="00A36B72" w:rsidP="00AB55F5">
      <w:pPr>
        <w:jc w:val="both"/>
        <w:rPr>
          <w:rFonts w:ascii="Avenir Book" w:hAnsi="Avenir Book" w:cs="Times New Roman"/>
          <w:sz w:val="22"/>
          <w:szCs w:val="22"/>
        </w:rPr>
      </w:pPr>
      <w:r w:rsidRPr="00AB55F5">
        <w:rPr>
          <w:rFonts w:ascii="Avenir Book" w:hAnsi="Avenir Book" w:cs="Times New Roman"/>
          <w:sz w:val="22"/>
          <w:szCs w:val="22"/>
        </w:rPr>
        <w:t>Endotoxins originate from a variety of both outdoor and indoor sources. Outdoors, they are commonly associated with</w:t>
      </w:r>
      <w:sdt>
        <w:sdtPr>
          <w:rPr>
            <w:rFonts w:ascii="Avenir Book" w:hAnsi="Avenir Book" w:cs="Times New Roman"/>
            <w:sz w:val="22"/>
            <w:szCs w:val="22"/>
          </w:rPr>
          <w:tag w:val="goog_rdk_63"/>
          <w:id w:val="-1562028660"/>
        </w:sdtPr>
        <w:sdtEndPr/>
        <w:sdtContent>
          <w:r w:rsidR="00DE1CE8">
            <w:rPr>
              <w:rFonts w:ascii="Avenir Book" w:hAnsi="Avenir Book" w:cs="Times New Roman"/>
              <w:sz w:val="22"/>
              <w:szCs w:val="22"/>
              <w:lang w:val="en-US"/>
            </w:rPr>
            <w:t xml:space="preserve"> </w:t>
          </w:r>
        </w:sdtContent>
      </w:sdt>
      <w:r w:rsidRPr="00AB55F5">
        <w:rPr>
          <w:rFonts w:ascii="Avenir Book" w:hAnsi="Avenir Book" w:cs="Times New Roman"/>
          <w:sz w:val="22"/>
          <w:szCs w:val="22"/>
        </w:rPr>
        <w:t>agricultural or processing activities</w:t>
      </w:r>
      <w:r w:rsidRPr="00AB55F5">
        <w:rPr>
          <w:rFonts w:ascii="Avenir Book" w:hAnsi="Avenir Book" w:cs="Times New Roman"/>
          <w:sz w:val="22"/>
          <w:szCs w:val="22"/>
          <w:vertAlign w:val="superscript"/>
        </w:rPr>
        <w:t>119</w:t>
      </w:r>
      <w:r w:rsidR="00DE1CE8" w:rsidRPr="00BC63BC">
        <w:rPr>
          <w:rFonts w:ascii="Avenir Book" w:hAnsi="Avenir Book" w:cs="Times New Roman"/>
          <w:sz w:val="22"/>
          <w:szCs w:val="22"/>
          <w:vertAlign w:val="subscript"/>
        </w:rPr>
        <w:t>,</w:t>
      </w:r>
      <w:r w:rsidRPr="00AB55F5">
        <w:rPr>
          <w:rFonts w:ascii="Avenir Book" w:hAnsi="Avenir Book" w:cs="Times New Roman"/>
          <w:sz w:val="22"/>
          <w:szCs w:val="22"/>
        </w:rPr>
        <w:t xml:space="preserve"> including compost</w:t>
      </w:r>
      <w:r w:rsidRPr="009821E4">
        <w:rPr>
          <w:rFonts w:ascii="Avenir Book" w:hAnsi="Avenir Book" w:cs="Times New Roman"/>
          <w:sz w:val="22"/>
          <w:szCs w:val="22"/>
        </w:rPr>
        <w:t xml:space="preserve"> piles, livestock operations, and hay storage, where Gram-negative bacteria proliferate in </w:t>
      </w:r>
      <w:sdt>
        <w:sdtPr>
          <w:rPr>
            <w:rFonts w:ascii="Avenir Book" w:hAnsi="Avenir Book" w:cs="Times New Roman"/>
            <w:sz w:val="22"/>
            <w:szCs w:val="22"/>
          </w:rPr>
          <w:tag w:val="goog_rdk_64"/>
          <w:id w:val="-1256782858"/>
        </w:sdtPr>
        <w:sdtEndPr/>
        <w:sdtContent/>
      </w:sdt>
      <w:sdt>
        <w:sdtPr>
          <w:rPr>
            <w:rFonts w:ascii="Avenir Book" w:hAnsi="Avenir Book" w:cs="Times New Roman"/>
            <w:sz w:val="22"/>
            <w:szCs w:val="22"/>
          </w:rPr>
          <w:tag w:val="goog_rdk_65"/>
          <w:id w:val="-943180735"/>
        </w:sdtPr>
        <w:sdtEndPr/>
        <w:sdtContent/>
      </w:sdt>
      <w:r w:rsidRPr="009821E4">
        <w:rPr>
          <w:rFonts w:ascii="Avenir Book" w:hAnsi="Avenir Book" w:cs="Times New Roman"/>
          <w:sz w:val="22"/>
          <w:szCs w:val="22"/>
        </w:rPr>
        <w:t>organic materials</w:t>
      </w:r>
      <w:r w:rsidRPr="009821E4">
        <w:rPr>
          <w:rFonts w:ascii="Avenir Book" w:hAnsi="Avenir Book" w:cs="Times New Roman"/>
          <w:sz w:val="22"/>
          <w:szCs w:val="22"/>
          <w:vertAlign w:val="superscript"/>
        </w:rPr>
        <w:t>120-124</w:t>
      </w:r>
      <w:r w:rsidRPr="009821E4">
        <w:rPr>
          <w:rFonts w:ascii="Avenir Book" w:hAnsi="Avenir Book" w:cs="Times New Roman"/>
          <w:sz w:val="22"/>
          <w:szCs w:val="22"/>
        </w:rPr>
        <w:t xml:space="preserve">. These endotoxins can become aerosolized and infiltrate buildings through open windows, doors, or mechanical ventilation systems. Indoors, common sources include domestic pets (particularly their bedding and skin microbiota), water-damaged materials, HVAC condensate pans and ductwork, as well as improperly cleaned </w:t>
      </w:r>
      <w:sdt>
        <w:sdtPr>
          <w:rPr>
            <w:rFonts w:ascii="Avenir Book" w:hAnsi="Avenir Book" w:cs="Times New Roman"/>
            <w:sz w:val="22"/>
            <w:szCs w:val="22"/>
          </w:rPr>
          <w:tag w:val="goog_rdk_66"/>
          <w:id w:val="858203494"/>
        </w:sdtPr>
        <w:sdtEndPr/>
        <w:sdtContent/>
      </w:sdt>
      <w:r w:rsidRPr="009821E4">
        <w:rPr>
          <w:rFonts w:ascii="Avenir Book" w:hAnsi="Avenir Book" w:cs="Times New Roman"/>
          <w:sz w:val="22"/>
          <w:szCs w:val="22"/>
        </w:rPr>
        <w:t>humidifiers</w:t>
      </w:r>
      <w:r w:rsidRPr="009821E4">
        <w:rPr>
          <w:rFonts w:ascii="Avenir Book" w:hAnsi="Avenir Book" w:cs="Times New Roman"/>
          <w:sz w:val="22"/>
          <w:szCs w:val="22"/>
          <w:vertAlign w:val="superscript"/>
        </w:rPr>
        <w:t>125</w:t>
      </w:r>
      <w:r w:rsidRPr="009821E4">
        <w:rPr>
          <w:rFonts w:ascii="Avenir Book" w:hAnsi="Avenir Book" w:cs="Times New Roman"/>
          <w:sz w:val="22"/>
          <w:szCs w:val="22"/>
        </w:rPr>
        <w:t xml:space="preserve">, and even </w:t>
      </w:r>
      <w:sdt>
        <w:sdtPr>
          <w:rPr>
            <w:rFonts w:ascii="Avenir Book" w:hAnsi="Avenir Book" w:cs="Times New Roman"/>
            <w:sz w:val="22"/>
            <w:szCs w:val="22"/>
          </w:rPr>
          <w:tag w:val="goog_rdk_67"/>
          <w:id w:val="-578756222"/>
        </w:sdtPr>
        <w:sdtEndPr/>
        <w:sdtContent/>
      </w:sdt>
      <w:r w:rsidRPr="009821E4">
        <w:rPr>
          <w:rFonts w:ascii="Avenir Book" w:hAnsi="Avenir Book" w:cs="Times New Roman"/>
          <w:sz w:val="22"/>
          <w:szCs w:val="22"/>
        </w:rPr>
        <w:t>kitchen compost bins</w:t>
      </w:r>
      <w:r w:rsidRPr="009821E4">
        <w:rPr>
          <w:rFonts w:ascii="Avenir Book" w:hAnsi="Avenir Book" w:cs="Times New Roman"/>
          <w:sz w:val="22"/>
          <w:szCs w:val="22"/>
          <w:vertAlign w:val="superscript"/>
        </w:rPr>
        <w:t>126</w:t>
      </w:r>
      <w:r w:rsidRPr="009821E4">
        <w:rPr>
          <w:rFonts w:ascii="Avenir Book" w:hAnsi="Avenir Book" w:cs="Times New Roman"/>
          <w:sz w:val="22"/>
          <w:szCs w:val="22"/>
        </w:rPr>
        <w:t xml:space="preserve">. Plumbing systems that harbor biofilms, such as P-traps and drain lines, can also emit aerosolized endotoxins under certain </w:t>
      </w:r>
      <w:sdt>
        <w:sdtPr>
          <w:rPr>
            <w:rFonts w:ascii="Avenir Book" w:hAnsi="Avenir Book" w:cs="Times New Roman"/>
            <w:sz w:val="22"/>
            <w:szCs w:val="22"/>
          </w:rPr>
          <w:tag w:val="goog_rdk_68"/>
          <w:id w:val="2123456691"/>
        </w:sdtPr>
        <w:sdtEndPr/>
        <w:sdtContent/>
      </w:sdt>
      <w:r w:rsidRPr="009821E4">
        <w:rPr>
          <w:rFonts w:ascii="Avenir Book" w:hAnsi="Avenir Book" w:cs="Times New Roman"/>
          <w:sz w:val="22"/>
          <w:szCs w:val="22"/>
        </w:rPr>
        <w:t>conditions</w:t>
      </w:r>
      <w:r w:rsidRPr="009821E4">
        <w:rPr>
          <w:rFonts w:ascii="Avenir Book" w:hAnsi="Avenir Book" w:cs="Times New Roman"/>
          <w:sz w:val="22"/>
          <w:szCs w:val="22"/>
          <w:vertAlign w:val="superscript"/>
        </w:rPr>
        <w:t>127,128</w:t>
      </w:r>
      <w:r w:rsidRPr="009821E4">
        <w:rPr>
          <w:rFonts w:ascii="Avenir Book" w:hAnsi="Avenir Book" w:cs="Times New Roman"/>
          <w:sz w:val="22"/>
          <w:szCs w:val="22"/>
        </w:rPr>
        <w:t>. In environments where indoor moisture and organic dust combine, such as bathrooms, kitchens, and utility spaces, the microbial load increases, supporting endotoxin</w:t>
      </w:r>
      <w:sdt>
        <w:sdtPr>
          <w:rPr>
            <w:rFonts w:ascii="Avenir Book" w:hAnsi="Avenir Book" w:cs="Times New Roman"/>
            <w:sz w:val="22"/>
            <w:szCs w:val="22"/>
          </w:rPr>
          <w:tag w:val="goog_rdk_69"/>
          <w:id w:val="119218514"/>
        </w:sdtPr>
        <w:sdtEndPr/>
        <w:sdtContent/>
      </w:sdt>
      <w:r w:rsidRPr="009821E4">
        <w:rPr>
          <w:rFonts w:ascii="Avenir Book" w:hAnsi="Avenir Book" w:cs="Times New Roman"/>
          <w:sz w:val="22"/>
          <w:szCs w:val="22"/>
        </w:rPr>
        <w:t xml:space="preserve"> release</w:t>
      </w:r>
      <w:r w:rsidRPr="009821E4">
        <w:rPr>
          <w:rFonts w:ascii="Avenir Book" w:hAnsi="Avenir Book" w:cs="Times New Roman"/>
          <w:sz w:val="22"/>
          <w:szCs w:val="22"/>
          <w:vertAlign w:val="superscript"/>
        </w:rPr>
        <w:t>129</w:t>
      </w:r>
      <w:r w:rsidRPr="009821E4">
        <w:rPr>
          <w:rFonts w:ascii="Avenir Book" w:hAnsi="Avenir Book" w:cs="Times New Roman"/>
          <w:sz w:val="22"/>
          <w:szCs w:val="22"/>
        </w:rPr>
        <w:t>. Awareness and proper identification of these sources are critical in assessments aimed at minimizing adverse health outcomes linked to endotoxin exposure.</w:t>
      </w:r>
    </w:p>
    <w:p w14:paraId="03688A3C" w14:textId="77777777" w:rsidR="00960895" w:rsidRDefault="00960895" w:rsidP="009821E4">
      <w:pPr>
        <w:jc w:val="both"/>
        <w:rPr>
          <w:rFonts w:ascii="Avenir Book" w:hAnsi="Avenir Book" w:cs="Times New Roman"/>
          <w:sz w:val="22"/>
          <w:szCs w:val="22"/>
        </w:rPr>
      </w:pPr>
    </w:p>
    <w:p w14:paraId="5C63B1AC" w14:textId="143154DD"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As with sampling the exterior and interior environments for mold, the importance of understanding sources of endotoxins is key. The IEP plays </w:t>
      </w:r>
      <w:r w:rsidR="00644422" w:rsidRPr="009821E4">
        <w:rPr>
          <w:rFonts w:ascii="Avenir Book" w:hAnsi="Avenir Book" w:cs="Times New Roman"/>
          <w:sz w:val="22"/>
          <w:szCs w:val="22"/>
        </w:rPr>
        <w:t>a vital role</w:t>
      </w:r>
      <w:r w:rsidRPr="009821E4">
        <w:rPr>
          <w:rFonts w:ascii="Avenir Book" w:hAnsi="Avenir Book" w:cs="Times New Roman"/>
          <w:sz w:val="22"/>
          <w:szCs w:val="22"/>
        </w:rPr>
        <w:t xml:space="preserve"> in locating these sources to provide appropriate remediation or mitigation strategies. </w:t>
      </w:r>
    </w:p>
    <w:p w14:paraId="77A40380" w14:textId="77777777" w:rsidR="00A36B72" w:rsidRPr="009821E4" w:rsidRDefault="00A36B72" w:rsidP="009821E4">
      <w:pPr>
        <w:jc w:val="both"/>
        <w:rPr>
          <w:rFonts w:ascii="Avenir Book" w:hAnsi="Avenir Book" w:cs="Times New Roman"/>
          <w:sz w:val="22"/>
          <w:szCs w:val="22"/>
        </w:rPr>
      </w:pPr>
    </w:p>
    <w:p w14:paraId="6A27348B" w14:textId="77777777" w:rsidR="00A36B72" w:rsidRPr="009821E4" w:rsidRDefault="00A36B72" w:rsidP="009821E4">
      <w:pPr>
        <w:jc w:val="both"/>
        <w:rPr>
          <w:rFonts w:ascii="Avenir Book" w:hAnsi="Avenir Book" w:cs="Times New Roman"/>
          <w:b/>
          <w:bCs/>
          <w:i/>
          <w:iCs/>
          <w:sz w:val="22"/>
          <w:szCs w:val="22"/>
        </w:rPr>
      </w:pPr>
      <w:r w:rsidRPr="009821E4">
        <w:rPr>
          <w:rFonts w:ascii="Avenir Book" w:hAnsi="Avenir Book" w:cs="Times New Roman"/>
          <w:b/>
          <w:bCs/>
          <w:i/>
          <w:iCs/>
          <w:sz w:val="22"/>
          <w:szCs w:val="22"/>
        </w:rPr>
        <w:t>Actinobacteria (Gram-positive bacteria)</w:t>
      </w:r>
    </w:p>
    <w:p w14:paraId="7D1799D3" w14:textId="34D2CEA9"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Actinobacteria (Actinos), a group of filamentous, Gram-positive bacteria, are increasingly recognized for their role in indoor air quality and potential to exacerbate inflammatory responses in CIRS patients. These organisms thrive in moist, alkaline, cellulose-rich </w:t>
      </w:r>
      <w:sdt>
        <w:sdtPr>
          <w:rPr>
            <w:rFonts w:ascii="Avenir Book" w:hAnsi="Avenir Book" w:cs="Times New Roman"/>
            <w:sz w:val="22"/>
            <w:szCs w:val="22"/>
          </w:rPr>
          <w:tag w:val="goog_rdk_70"/>
          <w:id w:val="-822154950"/>
        </w:sdtPr>
        <w:sdtEndPr/>
        <w:sdtContent/>
      </w:sdt>
      <w:r w:rsidRPr="009821E4">
        <w:rPr>
          <w:rFonts w:ascii="Avenir Book" w:hAnsi="Avenir Book" w:cs="Times New Roman"/>
          <w:sz w:val="22"/>
          <w:szCs w:val="22"/>
        </w:rPr>
        <w:t>environments</w:t>
      </w:r>
      <w:r w:rsidRPr="009821E4">
        <w:rPr>
          <w:rFonts w:ascii="Avenir Book" w:hAnsi="Avenir Book" w:cs="Times New Roman"/>
          <w:sz w:val="22"/>
          <w:szCs w:val="22"/>
          <w:vertAlign w:val="superscript"/>
        </w:rPr>
        <w:t>130</w:t>
      </w:r>
      <w:r w:rsidRPr="009821E4">
        <w:rPr>
          <w:rFonts w:ascii="Avenir Book" w:hAnsi="Avenir Book" w:cs="Times New Roman"/>
          <w:sz w:val="22"/>
          <w:szCs w:val="22"/>
        </w:rPr>
        <w:t xml:space="preserve"> common in water-damaged buildings, often cohabiting with mold and contributing to a complex microbiome that </w:t>
      </w:r>
      <w:r w:rsidRPr="009821E4">
        <w:rPr>
          <w:rFonts w:ascii="Avenir Book" w:hAnsi="Avenir Book" w:cs="Times New Roman"/>
          <w:sz w:val="22"/>
          <w:szCs w:val="22"/>
        </w:rPr>
        <w:t xml:space="preserve">challenges conventional assessment strategies. When aerosolized, fragments of Actinos can be inhaled, where they interact with immune receptors and can prompt persistent </w:t>
      </w:r>
      <w:sdt>
        <w:sdtPr>
          <w:rPr>
            <w:rFonts w:ascii="Avenir Book" w:hAnsi="Avenir Book" w:cs="Times New Roman"/>
            <w:sz w:val="22"/>
            <w:szCs w:val="22"/>
          </w:rPr>
          <w:tag w:val="goog_rdk_71"/>
          <w:id w:val="-1062601269"/>
        </w:sdtPr>
        <w:sdtEndPr/>
        <w:sdtContent/>
      </w:sdt>
      <w:r w:rsidRPr="009821E4">
        <w:rPr>
          <w:rFonts w:ascii="Avenir Book" w:hAnsi="Avenir Book" w:cs="Times New Roman"/>
          <w:sz w:val="22"/>
          <w:szCs w:val="22"/>
        </w:rPr>
        <w:t>inflammation</w:t>
      </w:r>
      <w:r w:rsidRPr="009821E4">
        <w:rPr>
          <w:rFonts w:ascii="Avenir Book" w:hAnsi="Avenir Book" w:cs="Times New Roman"/>
          <w:sz w:val="22"/>
          <w:szCs w:val="22"/>
          <w:vertAlign w:val="superscript"/>
        </w:rPr>
        <w:t>131</w:t>
      </w:r>
      <w:r w:rsidRPr="009821E4">
        <w:rPr>
          <w:rFonts w:ascii="Avenir Book" w:hAnsi="Avenir Book" w:cs="Times New Roman"/>
          <w:sz w:val="22"/>
          <w:szCs w:val="22"/>
        </w:rPr>
        <w:t xml:space="preserve">. Actinos are also common flora on humans and can become opportunistic pathogens for the </w:t>
      </w:r>
      <w:sdt>
        <w:sdtPr>
          <w:rPr>
            <w:rFonts w:ascii="Avenir Book" w:hAnsi="Avenir Book" w:cs="Times New Roman"/>
            <w:sz w:val="22"/>
            <w:szCs w:val="22"/>
          </w:rPr>
          <w:tag w:val="goog_rdk_72"/>
          <w:id w:val="774646351"/>
        </w:sdtPr>
        <w:sdtEndPr/>
        <w:sdtContent/>
      </w:sdt>
      <w:r w:rsidRPr="009821E4">
        <w:rPr>
          <w:rFonts w:ascii="Avenir Book" w:hAnsi="Avenir Book" w:cs="Times New Roman"/>
          <w:sz w:val="22"/>
          <w:szCs w:val="22"/>
        </w:rPr>
        <w:t>susceptible population</w:t>
      </w:r>
      <w:r w:rsidRPr="009821E4">
        <w:rPr>
          <w:rFonts w:ascii="Avenir Book" w:hAnsi="Avenir Book" w:cs="Times New Roman"/>
          <w:sz w:val="22"/>
          <w:szCs w:val="22"/>
          <w:vertAlign w:val="superscript"/>
        </w:rPr>
        <w:t>132</w:t>
      </w:r>
      <w:r w:rsidRPr="009821E4">
        <w:rPr>
          <w:rFonts w:ascii="Avenir Book" w:hAnsi="Avenir Book" w:cs="Times New Roman"/>
          <w:sz w:val="22"/>
          <w:szCs w:val="22"/>
        </w:rPr>
        <w:t>.</w:t>
      </w:r>
      <w:r w:rsidR="00EC628A">
        <w:rPr>
          <w:rFonts w:ascii="Avenir Book" w:hAnsi="Avenir Book" w:cs="Times New Roman"/>
          <w:sz w:val="22"/>
          <w:szCs w:val="22"/>
        </w:rPr>
        <w:t xml:space="preserve"> </w:t>
      </w:r>
    </w:p>
    <w:p w14:paraId="3974C584" w14:textId="77777777" w:rsidR="00960895" w:rsidRPr="00063772" w:rsidRDefault="00960895" w:rsidP="009821E4">
      <w:pPr>
        <w:jc w:val="both"/>
        <w:rPr>
          <w:rFonts w:ascii="Avenir Book" w:hAnsi="Avenir Book" w:cs="Times New Roman"/>
          <w:sz w:val="20"/>
          <w:szCs w:val="20"/>
        </w:rPr>
      </w:pPr>
    </w:p>
    <w:p w14:paraId="0D7531FC" w14:textId="68CB3D95"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Although historically under-appreciated in environmental testing, Actinobacteria have gained attention due to their detection in case studies involving hypersensitivity pneumonitis and</w:t>
      </w:r>
      <w:sdt>
        <w:sdtPr>
          <w:rPr>
            <w:rFonts w:ascii="Avenir Book" w:hAnsi="Avenir Book" w:cs="Times New Roman"/>
            <w:sz w:val="22"/>
            <w:szCs w:val="22"/>
          </w:rPr>
          <w:tag w:val="goog_rdk_73"/>
          <w:id w:val="292105982"/>
          <w:showingPlcHdr/>
        </w:sdtPr>
        <w:sdtEndPr/>
        <w:sdtContent>
          <w:r w:rsidR="00211B17">
            <w:rPr>
              <w:rFonts w:ascii="Avenir Book" w:hAnsi="Avenir Book" w:cs="Times New Roman"/>
              <w:sz w:val="22"/>
              <w:szCs w:val="22"/>
            </w:rPr>
            <w:t xml:space="preserve">     </w:t>
          </w:r>
        </w:sdtContent>
      </w:sdt>
      <w:r w:rsidRPr="009821E4">
        <w:rPr>
          <w:rFonts w:ascii="Avenir Book" w:hAnsi="Avenir Book" w:cs="Times New Roman"/>
          <w:sz w:val="22"/>
          <w:szCs w:val="22"/>
        </w:rPr>
        <w:t>building-related illness</w:t>
      </w:r>
      <w:r w:rsidRPr="009821E4">
        <w:rPr>
          <w:rFonts w:ascii="Avenir Book" w:hAnsi="Avenir Book" w:cs="Times New Roman"/>
          <w:sz w:val="22"/>
          <w:szCs w:val="22"/>
          <w:vertAlign w:val="superscript"/>
        </w:rPr>
        <w:t>133</w:t>
      </w:r>
      <w:r w:rsidRPr="009821E4">
        <w:rPr>
          <w:rFonts w:ascii="Avenir Book" w:hAnsi="Avenir Book" w:cs="Times New Roman"/>
          <w:sz w:val="22"/>
          <w:szCs w:val="22"/>
        </w:rPr>
        <w:t xml:space="preserve">. More recent </w:t>
      </w:r>
      <w:r w:rsidR="00155033">
        <w:rPr>
          <w:rFonts w:ascii="Avenir Book" w:hAnsi="Avenir Book" w:cs="Times New Roman"/>
          <w:sz w:val="22"/>
          <w:szCs w:val="22"/>
        </w:rPr>
        <w:t>research</w:t>
      </w:r>
      <w:r w:rsidR="00A55344">
        <w:rPr>
          <w:rFonts w:ascii="Avenir Book" w:hAnsi="Avenir Book" w:cs="Times New Roman"/>
          <w:sz w:val="22"/>
          <w:szCs w:val="22"/>
          <w:lang w:val="en-US"/>
        </w:rPr>
        <w:t xml:space="preserve"> </w:t>
      </w:r>
      <w:r w:rsidR="00A55344" w:rsidRPr="00BC63BC">
        <w:rPr>
          <w:rFonts w:ascii="Avenir Book" w:hAnsi="Avenir Book" w:cs="Times New Roman"/>
          <w:sz w:val="22"/>
          <w:szCs w:val="22"/>
          <w:vertAlign w:val="superscript"/>
          <w:lang w:val="en-US"/>
        </w:rPr>
        <w:t>1,</w:t>
      </w:r>
      <w:r w:rsidR="00155033" w:rsidRPr="00BC63BC">
        <w:rPr>
          <w:rFonts w:ascii="Avenir Book" w:hAnsi="Avenir Book" w:cs="Times New Roman"/>
          <w:sz w:val="22"/>
          <w:szCs w:val="22"/>
          <w:vertAlign w:val="superscript"/>
        </w:rPr>
        <w:t>34,135</w:t>
      </w:r>
      <w:r w:rsidR="00155033">
        <w:rPr>
          <w:rFonts w:ascii="Avenir Book" w:hAnsi="Avenir Book" w:cs="Times New Roman"/>
          <w:sz w:val="22"/>
          <w:szCs w:val="22"/>
        </w:rPr>
        <w:t xml:space="preserve"> by Dr. Shoemaker and others has</w:t>
      </w:r>
      <w:r w:rsidRPr="009821E4">
        <w:rPr>
          <w:rFonts w:ascii="Avenir Book" w:hAnsi="Avenir Book" w:cs="Times New Roman"/>
          <w:sz w:val="22"/>
          <w:szCs w:val="22"/>
        </w:rPr>
        <w:t xml:space="preserve"> shed additional light on this exposure concern.</w:t>
      </w:r>
    </w:p>
    <w:p w14:paraId="18C101CE" w14:textId="77777777" w:rsidR="00960895" w:rsidRPr="00063772" w:rsidRDefault="00960895" w:rsidP="009821E4">
      <w:pPr>
        <w:jc w:val="both"/>
        <w:rPr>
          <w:rFonts w:ascii="Avenir Book" w:hAnsi="Avenir Book" w:cs="Times New Roman"/>
          <w:sz w:val="20"/>
          <w:szCs w:val="20"/>
        </w:rPr>
      </w:pPr>
    </w:p>
    <w:p w14:paraId="640B4D9D" w14:textId="58065CBC" w:rsidR="00A36B72" w:rsidRPr="009821E4" w:rsidRDefault="00155033" w:rsidP="009821E4">
      <w:pPr>
        <w:jc w:val="both"/>
        <w:rPr>
          <w:rFonts w:ascii="Avenir Book" w:hAnsi="Avenir Book" w:cs="Times New Roman"/>
          <w:sz w:val="22"/>
          <w:szCs w:val="22"/>
        </w:rPr>
      </w:pPr>
      <w:r>
        <w:rPr>
          <w:rFonts w:ascii="Avenir Book" w:hAnsi="Avenir Book" w:cs="Times New Roman"/>
          <w:sz w:val="22"/>
          <w:szCs w:val="22"/>
        </w:rPr>
        <w:t>Culture-based methods do not easily capture their presence in indoor environment</w:t>
      </w:r>
      <w:r w:rsidR="00A36B72" w:rsidRPr="009821E4">
        <w:rPr>
          <w:rFonts w:ascii="Avenir Book" w:hAnsi="Avenir Book" w:cs="Times New Roman"/>
          <w:sz w:val="22"/>
          <w:szCs w:val="22"/>
        </w:rPr>
        <w:t xml:space="preserve"> necessitating the use of DNA-based sequencing tools for </w:t>
      </w:r>
      <w:sdt>
        <w:sdtPr>
          <w:rPr>
            <w:rFonts w:ascii="Avenir Book" w:hAnsi="Avenir Book" w:cs="Times New Roman"/>
            <w:sz w:val="22"/>
            <w:szCs w:val="22"/>
          </w:rPr>
          <w:tag w:val="goog_rdk_75"/>
          <w:id w:val="-1150595209"/>
        </w:sdtPr>
        <w:sdtEndPr/>
        <w:sdtContent/>
      </w:sdt>
      <w:r w:rsidR="00A36B72" w:rsidRPr="009821E4">
        <w:rPr>
          <w:rFonts w:ascii="Avenir Book" w:hAnsi="Avenir Book" w:cs="Times New Roman"/>
          <w:sz w:val="22"/>
          <w:szCs w:val="22"/>
        </w:rPr>
        <w:t>accurate identification</w:t>
      </w:r>
      <w:r w:rsidR="00A36B72" w:rsidRPr="009821E4">
        <w:rPr>
          <w:rFonts w:ascii="Avenir Book" w:hAnsi="Avenir Book" w:cs="Times New Roman"/>
          <w:sz w:val="22"/>
          <w:szCs w:val="22"/>
          <w:vertAlign w:val="superscript"/>
        </w:rPr>
        <w:t>136</w:t>
      </w:r>
      <w:r w:rsidR="00A36B72" w:rsidRPr="009821E4">
        <w:rPr>
          <w:rFonts w:ascii="Avenir Book" w:hAnsi="Avenir Book" w:cs="Times New Roman"/>
          <w:sz w:val="22"/>
          <w:szCs w:val="22"/>
        </w:rPr>
        <w:t>. Advances in environmental genomics, including next-generation sequencing (NGS), have enabled laboratories to quantify Actinobacteria from dust samples with increasing accuracy and clinical relevance.</w:t>
      </w:r>
    </w:p>
    <w:p w14:paraId="1D4FE834" w14:textId="77777777" w:rsidR="00960895" w:rsidRPr="00063772" w:rsidRDefault="00960895" w:rsidP="009821E4">
      <w:pPr>
        <w:jc w:val="both"/>
        <w:rPr>
          <w:rFonts w:ascii="Avenir Book" w:hAnsi="Avenir Book" w:cs="Times New Roman"/>
          <w:sz w:val="20"/>
          <w:szCs w:val="20"/>
        </w:rPr>
      </w:pPr>
    </w:p>
    <w:p w14:paraId="20AD5B4D" w14:textId="3B91D4D4"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By combining Actinobacteria DNA data with mold and endotoxin analysis, IEPs now have a more complete microbial profile of an indoor space. This integration allows for improved decision-making in both medical and remediation contexts, particularly when working with </w:t>
      </w:r>
      <w:r w:rsidR="003812B3">
        <w:rPr>
          <w:rFonts w:ascii="Avenir Book" w:hAnsi="Avenir Book" w:cs="Times New Roman"/>
          <w:sz w:val="22"/>
          <w:szCs w:val="22"/>
        </w:rPr>
        <w:t>individuals with sensitivitie</w:t>
      </w:r>
      <w:r w:rsidRPr="009821E4">
        <w:rPr>
          <w:rFonts w:ascii="Avenir Book" w:hAnsi="Avenir Book" w:cs="Times New Roman"/>
          <w:sz w:val="22"/>
          <w:szCs w:val="22"/>
        </w:rPr>
        <w:t>s. As with endotoxins, recognizing the role of Actinobacteria in environmental exposure helps shift building assessments away from purely visual inspections toward a more biologically driven approach to occupant health.</w:t>
      </w:r>
    </w:p>
    <w:p w14:paraId="35945597" w14:textId="77777777" w:rsidR="00A36B72" w:rsidRPr="00063772" w:rsidRDefault="00A36B72" w:rsidP="009821E4">
      <w:pPr>
        <w:jc w:val="both"/>
        <w:rPr>
          <w:rFonts w:ascii="Avenir Book" w:hAnsi="Avenir Book" w:cs="Times New Roman"/>
          <w:b/>
          <w:sz w:val="20"/>
          <w:szCs w:val="20"/>
        </w:rPr>
      </w:pPr>
    </w:p>
    <w:p w14:paraId="091F2314" w14:textId="77777777" w:rsidR="00FB4ED8" w:rsidRPr="00FB4ED8" w:rsidRDefault="00A36B72" w:rsidP="009821E4">
      <w:pPr>
        <w:jc w:val="both"/>
        <w:rPr>
          <w:rFonts w:ascii="Avenir Book" w:hAnsi="Avenir Book" w:cs="Times New Roman"/>
          <w:b/>
          <w:color w:val="11639F"/>
          <w:sz w:val="28"/>
          <w:szCs w:val="32"/>
        </w:rPr>
      </w:pPr>
      <w:r w:rsidRPr="00FB4ED8">
        <w:rPr>
          <w:rFonts w:ascii="Avenir Book" w:hAnsi="Avenir Book" w:cs="Times New Roman"/>
          <w:b/>
          <w:color w:val="11639F"/>
          <w:sz w:val="28"/>
          <w:szCs w:val="32"/>
        </w:rPr>
        <w:t>Non-Traditional Indicators: Odors, Dust Profiles, and Historical Building Use</w:t>
      </w:r>
    </w:p>
    <w:p w14:paraId="16A459AD" w14:textId="3F786749" w:rsidR="00A36B72" w:rsidRDefault="00A36B72" w:rsidP="009821E4">
      <w:pPr>
        <w:jc w:val="both"/>
        <w:rPr>
          <w:rFonts w:ascii="Avenir Book" w:hAnsi="Avenir Book" w:cs="Times New Roman"/>
          <w:i/>
          <w:sz w:val="22"/>
          <w:szCs w:val="22"/>
          <w:lang w:val="en-US"/>
        </w:rPr>
      </w:pPr>
      <w:r w:rsidRPr="009821E4">
        <w:rPr>
          <w:rFonts w:ascii="Avenir Book" w:hAnsi="Avenir Book" w:cs="Times New Roman"/>
          <w:i/>
          <w:sz w:val="22"/>
          <w:szCs w:val="22"/>
        </w:rPr>
        <w:t>Looking beyond the typical to identify problems others may overlook.</w:t>
      </w:r>
    </w:p>
    <w:p w14:paraId="495E2003" w14:textId="77777777" w:rsidR="001D618C" w:rsidRPr="00BC63BC" w:rsidRDefault="001D618C" w:rsidP="009821E4">
      <w:pPr>
        <w:jc w:val="both"/>
        <w:rPr>
          <w:rFonts w:ascii="Avenir Book" w:hAnsi="Avenir Book" w:cs="Times New Roman"/>
          <w:i/>
          <w:sz w:val="22"/>
          <w:szCs w:val="22"/>
          <w:lang w:val="en-US"/>
        </w:rPr>
      </w:pPr>
    </w:p>
    <w:p w14:paraId="3A10F0D4" w14:textId="77777777"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Environmental assessments benefit significantly from looking beyond traditional indicators like visible mold growth or water stains. Non-traditional indicators, such as unusual odors, unique dust profiles, and historical building usage, provide critical insights into hidden contamination and exposure pathways. Recognizing these often-overlooked factors can reveal otherwise unnoticed environmental hazards, particularly valuable for </w:t>
      </w:r>
      <w:r w:rsidRPr="009821E4">
        <w:rPr>
          <w:rFonts w:ascii="Avenir Book" w:hAnsi="Avenir Book" w:cs="Times New Roman"/>
          <w:sz w:val="22"/>
          <w:szCs w:val="22"/>
        </w:rPr>
        <w:lastRenderedPageBreak/>
        <w:t>occupants sensitive to subtle microbial or chemical exposures.</w:t>
      </w:r>
    </w:p>
    <w:p w14:paraId="0A4170CA" w14:textId="77777777" w:rsidR="00FB4ED8" w:rsidRPr="00462536" w:rsidRDefault="00FB4ED8" w:rsidP="009821E4">
      <w:pPr>
        <w:jc w:val="both"/>
        <w:rPr>
          <w:rFonts w:ascii="Avenir Book" w:hAnsi="Avenir Book" w:cs="Times New Roman"/>
          <w:sz w:val="20"/>
          <w:szCs w:val="20"/>
        </w:rPr>
      </w:pPr>
    </w:p>
    <w:p w14:paraId="36F3CA96" w14:textId="62602095"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Unusual odors frequently serve as early indicators of hidden contamination. Musty or earthy odo</w:t>
      </w:r>
      <w:sdt>
        <w:sdtPr>
          <w:rPr>
            <w:rFonts w:ascii="Avenir Book" w:hAnsi="Avenir Book" w:cs="Times New Roman"/>
            <w:sz w:val="22"/>
            <w:szCs w:val="22"/>
          </w:rPr>
          <w:tag w:val="goog_rdk_77"/>
          <w:id w:val="-1255439169"/>
        </w:sdtPr>
        <w:sdtEndPr/>
        <w:sdtContent>
          <w:r w:rsidR="00BC63BC">
            <w:rPr>
              <w:rFonts w:ascii="Avenir Book" w:hAnsi="Avenir Book" w:cs="Times New Roman"/>
              <w:sz w:val="22"/>
              <w:szCs w:val="22"/>
            </w:rPr>
            <w:t xml:space="preserve">rs, </w:t>
          </w:r>
        </w:sdtContent>
      </w:sdt>
      <w:r w:rsidRPr="009821E4">
        <w:rPr>
          <w:rFonts w:ascii="Avenir Book" w:hAnsi="Avenir Book" w:cs="Times New Roman"/>
          <w:sz w:val="22"/>
          <w:szCs w:val="22"/>
        </w:rPr>
        <w:t>subfloor areas</w:t>
      </w:r>
      <w:r w:rsidRPr="009821E4">
        <w:rPr>
          <w:rFonts w:ascii="Avenir Book" w:hAnsi="Avenir Book" w:cs="Times New Roman"/>
          <w:sz w:val="22"/>
          <w:szCs w:val="22"/>
          <w:vertAlign w:val="superscript"/>
        </w:rPr>
        <w:t>137-140</w:t>
      </w:r>
      <w:r w:rsidR="0074140A">
        <w:rPr>
          <w:rFonts w:ascii="Avenir Book" w:hAnsi="Avenir Book" w:cs="Times New Roman"/>
          <w:sz w:val="22"/>
          <w:szCs w:val="22"/>
        </w:rPr>
        <w:t>. In contrast,</w:t>
      </w:r>
      <w:r w:rsidRPr="009821E4">
        <w:rPr>
          <w:rFonts w:ascii="Avenir Book" w:hAnsi="Avenir Book" w:cs="Times New Roman"/>
          <w:sz w:val="22"/>
          <w:szCs w:val="22"/>
        </w:rPr>
        <w:t xml:space="preserve"> chemical or "off-gassing" odors can indicate VOC emissions from construction materials, cleaning products, or historic use of the building space for industrial or chemical-related activities. IEPs attentive to these odor cues can effectively guide sampling strategies, ensuring targeted evaluations of potentially problematic areas.</w:t>
      </w:r>
    </w:p>
    <w:p w14:paraId="034117B6" w14:textId="77777777" w:rsidR="00973C4E" w:rsidRPr="00462536" w:rsidRDefault="00973C4E" w:rsidP="009821E4">
      <w:pPr>
        <w:jc w:val="both"/>
        <w:rPr>
          <w:rFonts w:ascii="Avenir Book" w:hAnsi="Avenir Book" w:cs="Times New Roman"/>
          <w:sz w:val="20"/>
          <w:szCs w:val="20"/>
        </w:rPr>
      </w:pPr>
    </w:p>
    <w:p w14:paraId="41AFA09A" w14:textId="58F8B0D0"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Dust profiles also offer substantial diagnostic value. Settled dust acts as a reservoir for microbial fragments, endotoxins, chemicals, and other environmental contaminants. By carefully analy</w:t>
      </w:r>
      <w:r w:rsidR="0074140A">
        <w:rPr>
          <w:rFonts w:ascii="Avenir Book" w:hAnsi="Avenir Book" w:cs="Times New Roman"/>
          <w:sz w:val="22"/>
          <w:szCs w:val="22"/>
        </w:rPr>
        <w:t>sing dust composition</w:t>
      </w:r>
      <w:r w:rsidR="0074140A">
        <w:rPr>
          <w:rFonts w:ascii="Avenir Book" w:hAnsi="Avenir Book" w:cs="Times New Roman" w:hint="eastAsia"/>
          <w:sz w:val="22"/>
          <w:szCs w:val="22"/>
        </w:rPr>
        <w:t>—</w:t>
      </w:r>
      <w:r w:rsidR="0074140A">
        <w:rPr>
          <w:rFonts w:ascii="Avenir Book" w:hAnsi="Avenir Book" w:cs="Times New Roman"/>
          <w:sz w:val="22"/>
          <w:szCs w:val="22"/>
        </w:rPr>
        <w:t>utilising advanced methods such as</w:t>
      </w:r>
      <w:r w:rsidR="00A4440C">
        <w:rPr>
          <w:rFonts w:ascii="Avenir Book" w:hAnsi="Avenir Book" w:cs="Times New Roman"/>
          <w:sz w:val="22"/>
          <w:szCs w:val="22"/>
        </w:rPr>
        <w:t xml:space="preserve"> </w:t>
      </w:r>
      <w:r w:rsidR="00E25F5E">
        <w:rPr>
          <w:rFonts w:ascii="Avenir Book" w:hAnsi="Avenir Book" w:cs="Times New Roman"/>
          <w:sz w:val="22"/>
          <w:szCs w:val="22"/>
        </w:rPr>
        <w:t>MSQPCR</w:t>
      </w:r>
      <w:r w:rsidR="00A4440C">
        <w:rPr>
          <w:rFonts w:ascii="Avenir Book" w:hAnsi="Avenir Book" w:cs="Times New Roman"/>
          <w:sz w:val="22"/>
          <w:szCs w:val="22"/>
        </w:rPr>
        <w:t xml:space="preserve"> </w:t>
      </w:r>
      <w:r w:rsidR="0074140A">
        <w:rPr>
          <w:rFonts w:ascii="Avenir Book" w:hAnsi="Avenir Book" w:cs="Times New Roman"/>
          <w:sz w:val="22"/>
          <w:szCs w:val="22"/>
        </w:rPr>
        <w:t>and LAL assays</w:t>
      </w:r>
      <w:r w:rsidR="00B92128">
        <w:rPr>
          <w:rFonts w:ascii="Avenir Book" w:hAnsi="Avenir Book" w:cs="Times New Roman"/>
          <w:sz w:val="22"/>
          <w:szCs w:val="22"/>
        </w:rPr>
        <w:t>,</w:t>
      </w:r>
      <w:r w:rsidR="00B92128">
        <w:rPr>
          <w:rFonts w:ascii="Avenir Book" w:hAnsi="Avenir Book" w:cs="Times New Roman"/>
          <w:sz w:val="22"/>
          <w:szCs w:val="22"/>
          <w:lang w:val="en-US"/>
        </w:rPr>
        <w:t xml:space="preserve"> </w:t>
      </w:r>
      <w:r w:rsidR="0074140A">
        <w:rPr>
          <w:rFonts w:ascii="Avenir Book" w:hAnsi="Avenir Book" w:cs="Times New Roman"/>
          <w:sz w:val="22"/>
          <w:szCs w:val="22"/>
        </w:rPr>
        <w:t xml:space="preserve">assessors can better </w:t>
      </w:r>
      <w:r w:rsidR="00BC63BC">
        <w:rPr>
          <w:rFonts w:ascii="Avenir Book" w:hAnsi="Avenir Book" w:cs="Times New Roman"/>
          <w:sz w:val="22"/>
          <w:szCs w:val="22"/>
        </w:rPr>
        <w:t>characterise</w:t>
      </w:r>
      <w:r w:rsidR="00B92128">
        <w:rPr>
          <w:rFonts w:ascii="Avenir Book" w:hAnsi="Avenir Book" w:cs="Times New Roman"/>
          <w:sz w:val="22"/>
          <w:szCs w:val="22"/>
          <w:lang w:val="en-US"/>
        </w:rPr>
        <w:t>z</w:t>
      </w:r>
      <w:r w:rsidRPr="009821E4">
        <w:rPr>
          <w:rFonts w:ascii="Avenir Book" w:hAnsi="Avenir Book" w:cs="Times New Roman"/>
          <w:sz w:val="22"/>
          <w:szCs w:val="22"/>
        </w:rPr>
        <w:t xml:space="preserve">e indoor environments, identify specific exposure risks, and target appropriate remediation actions. Detailed dust profiling frequently uncovers hidden contamination sources, facilitating precise, effective interventions that </w:t>
      </w:r>
      <w:r w:rsidR="0074140A">
        <w:rPr>
          <w:rFonts w:ascii="Avenir Book" w:hAnsi="Avenir Book" w:cs="Times New Roman"/>
          <w:sz w:val="22"/>
          <w:szCs w:val="22"/>
        </w:rPr>
        <w:t>conventional visual inspections would otherwise mis</w:t>
      </w:r>
      <w:r w:rsidRPr="009821E4">
        <w:rPr>
          <w:rFonts w:ascii="Avenir Book" w:hAnsi="Avenir Book" w:cs="Times New Roman"/>
          <w:sz w:val="22"/>
          <w:szCs w:val="22"/>
        </w:rPr>
        <w:t>s.</w:t>
      </w:r>
    </w:p>
    <w:p w14:paraId="2CCC1BDC" w14:textId="77777777" w:rsidR="00973C4E" w:rsidRPr="00462536" w:rsidRDefault="00973C4E" w:rsidP="009821E4">
      <w:pPr>
        <w:jc w:val="both"/>
        <w:rPr>
          <w:rFonts w:ascii="Avenir Book" w:hAnsi="Avenir Book" w:cs="Times New Roman"/>
          <w:sz w:val="20"/>
          <w:szCs w:val="20"/>
        </w:rPr>
      </w:pPr>
    </w:p>
    <w:p w14:paraId="09B1120F" w14:textId="77777777"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Historical building use is another powerful yet often overlooked indicator. Past uses of a building—such as prior water damage events, historical flooding, previous industrial or agricultural activities, or even past mold remediation efforts—can significantly impact current indoor environmental conditions. Reviewing building histories, maintenance records, and occupant reports helps practitioners contextualize current findings and anticipate hidden or residual environmental risks. Integrating these historical insights with symptom-driven diagnostics and targeted sampling approaches ensures a comprehensive assessment, enabling professionals to identify and mitigate risks effectively.</w:t>
      </w:r>
    </w:p>
    <w:p w14:paraId="47787C5C" w14:textId="77777777" w:rsidR="00973C4E" w:rsidRPr="00462536" w:rsidRDefault="00973C4E" w:rsidP="009821E4">
      <w:pPr>
        <w:jc w:val="both"/>
        <w:rPr>
          <w:rFonts w:ascii="Avenir Book" w:hAnsi="Avenir Book" w:cs="Times New Roman"/>
          <w:sz w:val="20"/>
          <w:szCs w:val="20"/>
        </w:rPr>
      </w:pPr>
    </w:p>
    <w:p w14:paraId="690E8251" w14:textId="2AD3123E" w:rsidR="00A36B72" w:rsidRPr="009821E4" w:rsidRDefault="00A36B72" w:rsidP="009821E4">
      <w:pPr>
        <w:jc w:val="both"/>
        <w:rPr>
          <w:rFonts w:ascii="Avenir Book" w:hAnsi="Avenir Book" w:cs="Times New Roman"/>
          <w:b/>
          <w:sz w:val="22"/>
          <w:szCs w:val="22"/>
        </w:rPr>
      </w:pPr>
      <w:r w:rsidRPr="009821E4">
        <w:rPr>
          <w:rFonts w:ascii="Avenir Book" w:hAnsi="Avenir Book" w:cs="Times New Roman"/>
          <w:sz w:val="22"/>
          <w:szCs w:val="22"/>
        </w:rPr>
        <w:t xml:space="preserve">By embracing non-traditional indicators alongside conventional assessment tools, environmental professionals enhance their ability to </w:t>
      </w:r>
      <w:r w:rsidR="00141AFE">
        <w:rPr>
          <w:rFonts w:ascii="Avenir Book" w:hAnsi="Avenir Book" w:cs="Times New Roman"/>
          <w:sz w:val="22"/>
          <w:szCs w:val="22"/>
        </w:rPr>
        <w:t>diagnose indoor environmental issues accurately</w:t>
      </w:r>
      <w:r w:rsidRPr="009821E4">
        <w:rPr>
          <w:rFonts w:ascii="Avenir Book" w:hAnsi="Avenir Book" w:cs="Times New Roman"/>
          <w:sz w:val="22"/>
          <w:szCs w:val="22"/>
        </w:rPr>
        <w:t>. This integrative approach leverages all available clues, ensuring thorough evaluations and improved occupant health outcomes.</w:t>
      </w:r>
    </w:p>
    <w:p w14:paraId="187D49A1" w14:textId="77777777" w:rsidR="00973C4E" w:rsidRPr="00462536" w:rsidRDefault="00973C4E" w:rsidP="009821E4">
      <w:pPr>
        <w:jc w:val="both"/>
        <w:rPr>
          <w:rFonts w:ascii="Avenir Book" w:hAnsi="Avenir Book" w:cs="Times New Roman"/>
          <w:b/>
          <w:sz w:val="20"/>
          <w:szCs w:val="20"/>
        </w:rPr>
      </w:pPr>
    </w:p>
    <w:p w14:paraId="4616EA20" w14:textId="7820AC42" w:rsidR="00973C4E" w:rsidRPr="00943E29" w:rsidRDefault="00A36B72" w:rsidP="009821E4">
      <w:pPr>
        <w:jc w:val="both"/>
        <w:rPr>
          <w:rFonts w:ascii="Avenir Book" w:hAnsi="Avenir Book" w:cs="Times New Roman"/>
          <w:color w:val="11639F"/>
          <w:sz w:val="28"/>
          <w:szCs w:val="32"/>
        </w:rPr>
      </w:pPr>
      <w:r w:rsidRPr="00943E29">
        <w:rPr>
          <w:rFonts w:ascii="Avenir Book" w:hAnsi="Avenir Book" w:cs="Times New Roman"/>
          <w:b/>
          <w:color w:val="11639F"/>
          <w:sz w:val="28"/>
          <w:szCs w:val="32"/>
        </w:rPr>
        <w:t>Contextual Diagnosis: Occupant Symptoms and Environmental Data</w:t>
      </w:r>
    </w:p>
    <w:p w14:paraId="6CAA5875" w14:textId="7C077B6C" w:rsidR="00A36B72" w:rsidRPr="009821E4" w:rsidRDefault="00A36B72" w:rsidP="009821E4">
      <w:pPr>
        <w:jc w:val="both"/>
        <w:rPr>
          <w:rFonts w:ascii="Avenir Book" w:hAnsi="Avenir Book" w:cs="Times New Roman"/>
          <w:i/>
          <w:sz w:val="22"/>
          <w:szCs w:val="22"/>
        </w:rPr>
      </w:pPr>
      <w:r w:rsidRPr="009821E4">
        <w:rPr>
          <w:rFonts w:ascii="Avenir Book" w:hAnsi="Avenir Book" w:cs="Times New Roman"/>
          <w:i/>
          <w:sz w:val="22"/>
          <w:szCs w:val="22"/>
        </w:rPr>
        <w:t>Using patient symptom profiles to inform areas of concern in the built environment</w:t>
      </w:r>
    </w:p>
    <w:p w14:paraId="5E106415" w14:textId="77777777" w:rsidR="00A36B72" w:rsidRDefault="00A36B72" w:rsidP="009821E4">
      <w:pPr>
        <w:jc w:val="both"/>
        <w:rPr>
          <w:rFonts w:ascii="Avenir Book" w:hAnsi="Avenir Book" w:cs="Times New Roman"/>
          <w:sz w:val="22"/>
          <w:szCs w:val="22"/>
          <w:lang w:val="en-US"/>
        </w:rPr>
      </w:pPr>
      <w:r w:rsidRPr="009821E4">
        <w:rPr>
          <w:rFonts w:ascii="Avenir Book" w:hAnsi="Avenir Book" w:cs="Times New Roman"/>
          <w:sz w:val="22"/>
          <w:szCs w:val="22"/>
        </w:rPr>
        <w:t>Contextual diagnosis is a crucial aspect of indoor environmental assessments, particularly for occupants experiencing chronic inflammatory response syndrome (CIRS) and other environmentally triggered illnesses. The foundation of contextual diagnosis involves leveraging detailed occupant symptom profiles alongside visual and analytical environmental data to pinpoint areas of concern. Rather than solely depending on visual inspections—which have inherent limitations due to hidden microbial growth and residues—this integrated method provides a more robust and accurate assessment strategy.</w:t>
      </w:r>
    </w:p>
    <w:p w14:paraId="70320ADE" w14:textId="77777777" w:rsidR="001D618C" w:rsidRPr="00BC63BC" w:rsidRDefault="001D618C" w:rsidP="009821E4">
      <w:pPr>
        <w:jc w:val="both"/>
        <w:rPr>
          <w:rFonts w:ascii="Avenir Book" w:hAnsi="Avenir Book" w:cs="Times New Roman"/>
          <w:sz w:val="22"/>
          <w:szCs w:val="22"/>
          <w:lang w:val="en-US"/>
        </w:rPr>
      </w:pPr>
    </w:p>
    <w:p w14:paraId="35DC62E7" w14:textId="286960C7"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Occupant symptom profiles often yield critical insights that can guide the environmental assessor toward specific hidden sources of contamination. Symptoms such as persistent fatigue, cognitive impairment, respiratory distress, and inflammatory responses frequently correlate with unseen microbial contaminants, endotoxins, or volatile organic compounds (VOCs), as well as other stressors emanating from concealed spaces within a building. Recognizing these patterns enhances the effectiveness of targeted sampling strategies, particularly employing the advanced sampling mentioned above, in addition to other techniques such as </w:t>
      </w:r>
      <w:sdt>
        <w:sdtPr>
          <w:rPr>
            <w:rFonts w:ascii="Avenir Book" w:hAnsi="Avenir Book" w:cs="Times New Roman"/>
            <w:sz w:val="22"/>
            <w:szCs w:val="22"/>
          </w:rPr>
          <w:tag w:val="goog_rdk_78"/>
          <w:id w:val="1645908133"/>
          <w:showingPlcHdr/>
        </w:sdtPr>
        <w:sdtEndPr/>
        <w:sdtContent>
          <w:r w:rsidR="00462536">
            <w:rPr>
              <w:rFonts w:ascii="Avenir Book" w:hAnsi="Avenir Book" w:cs="Times New Roman"/>
              <w:sz w:val="22"/>
              <w:szCs w:val="22"/>
            </w:rPr>
            <w:t xml:space="preserve">     </w:t>
          </w:r>
        </w:sdtContent>
      </w:sdt>
      <w:r w:rsidRPr="009821E4">
        <w:rPr>
          <w:rFonts w:ascii="Avenir Book" w:hAnsi="Avenir Book" w:cs="Times New Roman"/>
          <w:sz w:val="22"/>
          <w:szCs w:val="22"/>
        </w:rPr>
        <w:t>Interstitial cavity sampling</w:t>
      </w:r>
      <w:r w:rsidRPr="009821E4">
        <w:rPr>
          <w:rFonts w:ascii="Avenir Book" w:hAnsi="Avenir Book" w:cs="Times New Roman"/>
          <w:sz w:val="22"/>
          <w:szCs w:val="22"/>
          <w:vertAlign w:val="superscript"/>
        </w:rPr>
        <w:t>11,12,141</w:t>
      </w:r>
      <w:r w:rsidRPr="009821E4">
        <w:rPr>
          <w:rFonts w:ascii="Avenir Book" w:hAnsi="Avenir Book" w:cs="Times New Roman"/>
          <w:sz w:val="22"/>
          <w:szCs w:val="22"/>
        </w:rPr>
        <w:t xml:space="preserve"> to help locate the specific sources. </w:t>
      </w:r>
    </w:p>
    <w:p w14:paraId="1BE144A4" w14:textId="77777777" w:rsidR="00943E29" w:rsidRPr="009821E4" w:rsidRDefault="00943E29" w:rsidP="009821E4">
      <w:pPr>
        <w:jc w:val="both"/>
        <w:rPr>
          <w:rFonts w:ascii="Avenir Book" w:hAnsi="Avenir Book" w:cs="Times New Roman"/>
          <w:sz w:val="22"/>
          <w:szCs w:val="22"/>
        </w:rPr>
      </w:pPr>
    </w:p>
    <w:p w14:paraId="62CB199F" w14:textId="6C998B37"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By combining patient-reported symptom information with visual inspection results, IEPs can overcome limitations inherent in purely visual assessments. For example, non-intrusive visual inspections alone cannot confirm the presence of mold and endotoxin contamination hidden behind walls, under floors, or within HVAC systems. Importantly, employing contextual diagnosis does not imply that IEPs are making medical diagnoses. Rather, it acknowledges the value of occupant symptom data as an integral component of environmental risk assessment. By complementing environmental assessments with occupant symptoms, IEPs can achieve more precise, meaningful, and actionable remediation plans, </w:t>
      </w:r>
      <w:r w:rsidR="00644422" w:rsidRPr="009821E4">
        <w:rPr>
          <w:rFonts w:ascii="Avenir Book" w:hAnsi="Avenir Book" w:cs="Times New Roman"/>
          <w:sz w:val="22"/>
          <w:szCs w:val="22"/>
        </w:rPr>
        <w:t>enhancing</w:t>
      </w:r>
      <w:r w:rsidRPr="009821E4">
        <w:rPr>
          <w:rFonts w:ascii="Avenir Book" w:hAnsi="Avenir Book" w:cs="Times New Roman"/>
          <w:sz w:val="22"/>
          <w:szCs w:val="22"/>
        </w:rPr>
        <w:t xml:space="preserve"> both building health and occupant well-being.</w:t>
      </w:r>
    </w:p>
    <w:p w14:paraId="24A2E392" w14:textId="77777777" w:rsidR="00A36B72" w:rsidRPr="009821E4" w:rsidRDefault="00A36B72" w:rsidP="009821E4">
      <w:pPr>
        <w:jc w:val="both"/>
        <w:rPr>
          <w:rFonts w:ascii="Avenir Book" w:hAnsi="Avenir Book" w:cs="Times New Roman"/>
          <w:sz w:val="22"/>
          <w:szCs w:val="22"/>
        </w:rPr>
      </w:pPr>
    </w:p>
    <w:p w14:paraId="7F3709AD" w14:textId="77777777" w:rsidR="00A36B72" w:rsidRPr="00943E29" w:rsidRDefault="00A36B72" w:rsidP="009821E4">
      <w:pPr>
        <w:pStyle w:val="Heading3"/>
        <w:keepNext w:val="0"/>
        <w:keepLines w:val="0"/>
        <w:spacing w:before="0"/>
        <w:jc w:val="both"/>
        <w:rPr>
          <w:rFonts w:ascii="Avenir Book" w:hAnsi="Avenir Book" w:cs="Times New Roman" w:hint="eastAsia"/>
          <w:b/>
          <w:color w:val="11639F"/>
          <w:sz w:val="28"/>
          <w:szCs w:val="32"/>
        </w:rPr>
      </w:pPr>
      <w:bookmarkStart w:id="5" w:name="_heading=h.1c76tsrzw1gu" w:colFirst="0" w:colLast="0"/>
      <w:bookmarkEnd w:id="5"/>
      <w:r w:rsidRPr="00943E29">
        <w:rPr>
          <w:rFonts w:ascii="Avenir Book" w:hAnsi="Avenir Book" w:cs="Times New Roman"/>
          <w:b/>
          <w:color w:val="11639F"/>
          <w:sz w:val="28"/>
          <w:szCs w:val="32"/>
        </w:rPr>
        <w:t>Sequencing Matters: Actions and Recommendations in the Right Order</w:t>
      </w:r>
    </w:p>
    <w:p w14:paraId="7D7B31D2" w14:textId="19B4B534"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Effective environmental assessment and remediation depend heavily on proper sequencing. This process typically begins with a thorough intake: collecting the building's history and understanding the occupant's health status and symptoms. From this foundation, initial hypotheses are developed and refined during the visual inspection and environmental sampling. Importantly, each phase builds upon the </w:t>
      </w:r>
      <w:r w:rsidR="00644422" w:rsidRPr="009821E4">
        <w:rPr>
          <w:rFonts w:ascii="Avenir Book" w:hAnsi="Avenir Book" w:cs="Times New Roman"/>
          <w:sz w:val="22"/>
          <w:szCs w:val="22"/>
        </w:rPr>
        <w:t>last missteps</w:t>
      </w:r>
      <w:r w:rsidRPr="009821E4">
        <w:rPr>
          <w:rFonts w:ascii="Avenir Book" w:hAnsi="Avenir Book" w:cs="Times New Roman"/>
          <w:sz w:val="22"/>
          <w:szCs w:val="22"/>
        </w:rPr>
        <w:t xml:space="preserve"> can result in misinterpretation, wasted resources, and prolonged exposure for sensitive individuals.</w:t>
      </w:r>
    </w:p>
    <w:p w14:paraId="70472D78" w14:textId="77777777" w:rsidR="00943E29" w:rsidRPr="009821E4" w:rsidRDefault="00943E29" w:rsidP="009821E4">
      <w:pPr>
        <w:jc w:val="both"/>
        <w:rPr>
          <w:rFonts w:ascii="Avenir Book" w:hAnsi="Avenir Book" w:cs="Times New Roman"/>
          <w:sz w:val="22"/>
          <w:szCs w:val="22"/>
        </w:rPr>
      </w:pPr>
    </w:p>
    <w:p w14:paraId="7A334EC7" w14:textId="77777777"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For example, recommending HVAC cleaning after whole-home particle remediation can reintroduce contaminants, undermining prior efforts. Similarly, failing to prioritize remediation of a contaminated crawlspace early on can compromise downstream cleaning efforts. Clear, intentional sequencing not only improves outcomes—it respects the client's time, finances, and well-being.</w:t>
      </w:r>
    </w:p>
    <w:p w14:paraId="1D62347C" w14:textId="77777777"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Recognizing this need, the CIRSx Institute developed the </w:t>
      </w:r>
      <w:r w:rsidRPr="009821E4">
        <w:rPr>
          <w:rFonts w:ascii="Avenir Book" w:hAnsi="Avenir Book" w:cs="Times New Roman"/>
          <w:i/>
          <w:sz w:val="22"/>
          <w:szCs w:val="22"/>
        </w:rPr>
        <w:t>Medically Important Remediation 101 (MIR-101)</w:t>
      </w:r>
      <w:r w:rsidRPr="009821E4">
        <w:rPr>
          <w:rFonts w:ascii="Avenir Book" w:hAnsi="Avenir Book" w:cs="Times New Roman"/>
          <w:sz w:val="22"/>
          <w:szCs w:val="22"/>
        </w:rPr>
        <w:t xml:space="preserve"> course, which provides guidance on ordering actions appropriately across the entire project timeline. This approach helps avoid incomplete assessments, premature clearance, or the overlooking of critical reservoirs of contamination.</w:t>
      </w:r>
    </w:p>
    <w:p w14:paraId="4A29DC6C" w14:textId="77777777" w:rsidR="00ED747B" w:rsidRPr="009821E4" w:rsidRDefault="00ED747B" w:rsidP="009821E4">
      <w:pPr>
        <w:jc w:val="both"/>
        <w:rPr>
          <w:rFonts w:ascii="Avenir Book" w:hAnsi="Avenir Book" w:cs="Times New Roman"/>
          <w:sz w:val="22"/>
          <w:szCs w:val="22"/>
        </w:rPr>
      </w:pPr>
    </w:p>
    <w:p w14:paraId="5B844D31" w14:textId="25F7E18E" w:rsidR="00A36B72" w:rsidRDefault="00A36B72" w:rsidP="009821E4">
      <w:pPr>
        <w:jc w:val="both"/>
        <w:rPr>
          <w:rFonts w:ascii="Avenir Book" w:hAnsi="Avenir Book" w:cs="Times New Roman"/>
          <w:sz w:val="22"/>
          <w:szCs w:val="22"/>
        </w:rPr>
      </w:pPr>
      <w:r w:rsidRPr="009821E4">
        <w:rPr>
          <w:rFonts w:ascii="Avenir Book" w:hAnsi="Avenir Book" w:cs="Times New Roman"/>
          <w:sz w:val="22"/>
          <w:szCs w:val="22"/>
        </w:rPr>
        <w:t xml:space="preserve">Nowhere is sequencing more important than during clearance. For clients with case-defined CIRS-WDB, a "safe enough" declaration must be grounded in appropriate metrics. Spore trap testing alone is inadequate; at clinical) minimum, post-remediation HERTSMI-2 scores should meet passing thresholds </w:t>
      </w:r>
      <w:r w:rsidRPr="009821E4">
        <w:rPr>
          <w:rFonts w:ascii="Avenir Book" w:hAnsi="Avenir Book" w:cs="Times New Roman"/>
          <w:sz w:val="22"/>
          <w:szCs w:val="22"/>
        </w:rPr>
        <w:lastRenderedPageBreak/>
        <w:t>established by experienced clinicians familiar with this illness, though the use of an EPA 36 panel offers 35 additional mold species to provide a significantly better picture of sampled environments to the IEP. This ensures that environmental progress aligns with clinical expectations for recovery. This, combined with a medically important assessment approach, increases the confidence that the building is ready for re</w:t>
      </w:r>
      <w:r w:rsidR="00ED747B">
        <w:rPr>
          <w:rFonts w:ascii="Avenir Book" w:hAnsi="Avenir Book" w:cs="Times New Roman"/>
          <w:sz w:val="22"/>
          <w:szCs w:val="22"/>
        </w:rPr>
        <w:t>-</w:t>
      </w:r>
      <w:r w:rsidRPr="009821E4">
        <w:rPr>
          <w:rFonts w:ascii="Avenir Book" w:hAnsi="Avenir Book" w:cs="Times New Roman"/>
          <w:sz w:val="22"/>
          <w:szCs w:val="22"/>
        </w:rPr>
        <w:t>entry.</w:t>
      </w:r>
    </w:p>
    <w:p w14:paraId="0ABD05C2" w14:textId="77777777" w:rsidR="00ED747B" w:rsidRPr="009821E4" w:rsidRDefault="00ED747B" w:rsidP="009821E4">
      <w:pPr>
        <w:jc w:val="both"/>
        <w:rPr>
          <w:rFonts w:ascii="Avenir Book" w:hAnsi="Avenir Book" w:cs="Times New Roman"/>
          <w:sz w:val="22"/>
          <w:szCs w:val="22"/>
        </w:rPr>
      </w:pPr>
    </w:p>
    <w:p w14:paraId="7D9229F6" w14:textId="77777777"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In summary, following a structured diagnostic and remediation sequence—from intake to final clearance—enhances accuracy, reduces costly redundancies, and provides a defensible framework for protecting both building integrity and occupant health.</w:t>
      </w:r>
    </w:p>
    <w:p w14:paraId="6B60C869" w14:textId="77777777" w:rsidR="00A36B72" w:rsidRPr="009821E4" w:rsidRDefault="00A36B72" w:rsidP="009821E4">
      <w:pPr>
        <w:jc w:val="both"/>
        <w:rPr>
          <w:rFonts w:ascii="Avenir Book" w:hAnsi="Avenir Book" w:cs="Times New Roman"/>
          <w:sz w:val="22"/>
          <w:szCs w:val="22"/>
        </w:rPr>
      </w:pPr>
    </w:p>
    <w:p w14:paraId="2D6B4256" w14:textId="3194C2DA" w:rsidR="00A36B72" w:rsidRPr="00927DE1" w:rsidRDefault="00A36B72" w:rsidP="009821E4">
      <w:pPr>
        <w:jc w:val="both"/>
        <w:rPr>
          <w:rFonts w:ascii="Avenir Book" w:eastAsia="Times New Roman" w:hAnsi="Avenir Book" w:cs="Times New Roman"/>
          <w:b/>
          <w:bCs/>
          <w:color w:val="11639F"/>
          <w:sz w:val="28"/>
          <w:szCs w:val="32"/>
        </w:rPr>
      </w:pPr>
      <w:r w:rsidRPr="00927DE1">
        <w:rPr>
          <w:rFonts w:ascii="Avenir Book" w:hAnsi="Avenir Book" w:cs="Times New Roman"/>
          <w:b/>
          <w:bCs/>
          <w:color w:val="11639F"/>
          <w:sz w:val="28"/>
          <w:szCs w:val="32"/>
          <w:shd w:val="clear" w:color="auto" w:fill="FFFFFF"/>
        </w:rPr>
        <w:t>Treatment of water-damaged building</w:t>
      </w:r>
      <w:r w:rsidR="00EB37E7">
        <w:rPr>
          <w:rFonts w:ascii="Avenir Book" w:hAnsi="Avenir Book" w:cs="Times New Roman"/>
          <w:b/>
          <w:bCs/>
          <w:color w:val="11639F"/>
          <w:sz w:val="28"/>
          <w:szCs w:val="32"/>
          <w:shd w:val="clear" w:color="auto" w:fill="FFFFFF"/>
        </w:rPr>
        <w:t xml:space="preserve"> environments</w:t>
      </w:r>
    </w:p>
    <w:p w14:paraId="06DC9F1C" w14:textId="77777777" w:rsidR="00A36B72" w:rsidRPr="009821E4" w:rsidRDefault="00A36B72" w:rsidP="009821E4">
      <w:pPr>
        <w:jc w:val="both"/>
        <w:rPr>
          <w:rFonts w:ascii="Avenir Book" w:eastAsia="Times New Roman" w:hAnsi="Avenir Book" w:cs="Times New Roman"/>
          <w:i/>
          <w:strike/>
          <w:color w:val="FF0000"/>
          <w:sz w:val="22"/>
          <w:szCs w:val="22"/>
        </w:rPr>
      </w:pPr>
      <w:r w:rsidRPr="009821E4">
        <w:rPr>
          <w:rFonts w:ascii="Avenir Book" w:eastAsia="Times New Roman" w:hAnsi="Avenir Book" w:cs="Times New Roman"/>
          <w:b/>
          <w:sz w:val="22"/>
          <w:szCs w:val="22"/>
        </w:rPr>
        <w:t>The Shift from "Remediation" to "Environmental Restoration"</w:t>
      </w:r>
    </w:p>
    <w:p w14:paraId="58D09BAF" w14:textId="6B46E72F" w:rsidR="00A36B72" w:rsidRPr="009821E4" w:rsidRDefault="00A36B72" w:rsidP="009821E4">
      <w:pPr>
        <w:jc w:val="both"/>
        <w:rPr>
          <w:rFonts w:ascii="Avenir Book" w:hAnsi="Avenir Book" w:cs="Times New Roman"/>
          <w:sz w:val="22"/>
          <w:szCs w:val="22"/>
        </w:rPr>
      </w:pPr>
      <w:r w:rsidRPr="009821E4">
        <w:rPr>
          <w:rFonts w:ascii="Avenir Book" w:hAnsi="Avenir Book" w:cs="Times New Roman"/>
          <w:sz w:val="22"/>
          <w:szCs w:val="22"/>
        </w:rPr>
        <w:t>For many years, the term "remediation" has served as the industry's catch-all for the removal of mold and water-damage-related contaminants. But remediation</w:t>
      </w:r>
      <w:r w:rsidR="00644422" w:rsidRPr="009821E4">
        <w:rPr>
          <w:rFonts w:ascii="Avenir Book" w:hAnsi="Avenir Book" w:cs="Times New Roman"/>
          <w:sz w:val="22"/>
          <w:szCs w:val="22"/>
        </w:rPr>
        <w:t xml:space="preserve"> implies</w:t>
      </w:r>
      <w:r w:rsidRPr="009821E4">
        <w:rPr>
          <w:rFonts w:ascii="Avenir Book" w:hAnsi="Avenir Book" w:cs="Times New Roman"/>
          <w:sz w:val="22"/>
          <w:szCs w:val="22"/>
        </w:rPr>
        <w:t xml:space="preserve"> the act of correcting a flaw or deficiency. In practice, it often focuses narrowly on the removal of visibly contaminated materials or reducing mold concentrations below visible thresholds. While this may satisfy contractual scope or regulatory guidance, it is increasingly recognized as insufficient when the goal is to create health-supporting indoor environments, especially for sensitive individuals. </w:t>
      </w:r>
    </w:p>
    <w:p w14:paraId="701791EB" w14:textId="77777777" w:rsidR="00063772" w:rsidRDefault="00063772" w:rsidP="009821E4">
      <w:pPr>
        <w:ind w:left="180" w:right="270"/>
        <w:jc w:val="both"/>
        <w:rPr>
          <w:rFonts w:ascii="Avenir Book" w:hAnsi="Avenir Book" w:cs="Times New Roman"/>
          <w:b/>
          <w:bCs/>
          <w:i/>
          <w:sz w:val="22"/>
          <w:szCs w:val="22"/>
          <w:u w:val="single"/>
        </w:rPr>
      </w:pPr>
    </w:p>
    <w:p w14:paraId="1779DE4C" w14:textId="77777777" w:rsidR="008E09B6" w:rsidRDefault="008E09B6" w:rsidP="009821E4">
      <w:pPr>
        <w:ind w:left="180" w:right="270"/>
        <w:jc w:val="both"/>
        <w:rPr>
          <w:rFonts w:ascii="Avenir Book" w:hAnsi="Avenir Book" w:cs="Times New Roman"/>
          <w:b/>
          <w:bCs/>
          <w:i/>
          <w:sz w:val="22"/>
          <w:szCs w:val="22"/>
          <w:u w:val="single"/>
        </w:rPr>
        <w:sectPr w:rsidR="008E09B6" w:rsidSect="00063772">
          <w:type w:val="continuous"/>
          <w:pgSz w:w="11906" w:h="16838"/>
          <w:pgMar w:top="288" w:right="720" w:bottom="288" w:left="720" w:header="283" w:footer="283" w:gutter="0"/>
          <w:cols w:num="2" w:space="576"/>
          <w:docGrid w:linePitch="360"/>
        </w:sectPr>
      </w:pPr>
    </w:p>
    <w:p w14:paraId="1D3B86B5" w14:textId="77777777" w:rsidR="006040F5" w:rsidRDefault="006040F5" w:rsidP="009821E4">
      <w:pPr>
        <w:ind w:left="180" w:right="270"/>
        <w:jc w:val="both"/>
        <w:rPr>
          <w:rFonts w:ascii="Avenir Book" w:hAnsi="Avenir Book" w:cs="Times New Roman"/>
          <w:b/>
          <w:bCs/>
          <w:i/>
          <w:sz w:val="22"/>
          <w:szCs w:val="22"/>
          <w:u w:val="single"/>
        </w:rPr>
      </w:pPr>
    </w:p>
    <w:tbl>
      <w:tblPr>
        <w:tblStyle w:val="TableGrid"/>
        <w:tblW w:w="0" w:type="auto"/>
        <w:tblLook w:val="04A0" w:firstRow="1" w:lastRow="0" w:firstColumn="1" w:lastColumn="0" w:noHBand="0" w:noVBand="1"/>
      </w:tblPr>
      <w:tblGrid>
        <w:gridCol w:w="10456"/>
      </w:tblGrid>
      <w:tr w:rsidR="006239D9" w14:paraId="77A58508" w14:textId="77777777" w:rsidTr="006239D9">
        <w:tc>
          <w:tcPr>
            <w:tcW w:w="10456" w:type="dxa"/>
          </w:tcPr>
          <w:p w14:paraId="0E874D1A" w14:textId="767A9F76" w:rsidR="006239D9" w:rsidRPr="006239D9" w:rsidRDefault="006239D9" w:rsidP="006239D9">
            <w:pPr>
              <w:ind w:left="180" w:right="270"/>
              <w:jc w:val="both"/>
              <w:rPr>
                <w:rFonts w:ascii="Avenir Book" w:hAnsi="Avenir Book" w:cs="Times New Roman"/>
                <w:b/>
                <w:bCs/>
                <w:iCs/>
                <w:sz w:val="22"/>
                <w:szCs w:val="22"/>
              </w:rPr>
            </w:pPr>
            <w:r w:rsidRPr="006040F5">
              <w:rPr>
                <w:rFonts w:ascii="Avenir Book" w:hAnsi="Avenir Book" w:cs="Times New Roman"/>
                <w:b/>
                <w:bCs/>
                <w:iCs/>
                <w:sz w:val="22"/>
                <w:szCs w:val="22"/>
              </w:rPr>
              <w:t>Spray &amp; Pray Approach: A Non-Starter</w:t>
            </w:r>
          </w:p>
        </w:tc>
      </w:tr>
      <w:tr w:rsidR="006239D9" w14:paraId="08150425" w14:textId="77777777" w:rsidTr="006239D9">
        <w:tc>
          <w:tcPr>
            <w:tcW w:w="10456" w:type="dxa"/>
          </w:tcPr>
          <w:p w14:paraId="294CB278" w14:textId="7A6EF916" w:rsidR="006239D9" w:rsidRPr="009821E4" w:rsidRDefault="006239D9" w:rsidP="006239D9">
            <w:pPr>
              <w:ind w:left="180" w:right="270"/>
              <w:jc w:val="both"/>
              <w:rPr>
                <w:rFonts w:ascii="Avenir Book" w:hAnsi="Avenir Book" w:cs="Times New Roman"/>
                <w:i/>
                <w:sz w:val="22"/>
                <w:szCs w:val="22"/>
              </w:rPr>
            </w:pPr>
            <w:r w:rsidRPr="009821E4">
              <w:rPr>
                <w:rFonts w:ascii="Avenir Book" w:hAnsi="Avenir Book" w:cs="Times New Roman"/>
                <w:i/>
                <w:sz w:val="22"/>
                <w:szCs w:val="22"/>
              </w:rPr>
              <w:t xml:space="preserve">Everyone is familiar with the overuse of antibiotics, leading to drug-resistant </w:t>
            </w:r>
            <w:sdt>
              <w:sdtPr>
                <w:rPr>
                  <w:rFonts w:ascii="Avenir Book" w:hAnsi="Avenir Book" w:cs="Times New Roman"/>
                  <w:sz w:val="22"/>
                  <w:szCs w:val="22"/>
                </w:rPr>
                <w:tag w:val="goog_rdk_79"/>
                <w:id w:val="1436515290"/>
              </w:sdtPr>
              <w:sdtEndPr/>
              <w:sdtContent/>
            </w:sdt>
            <w:sdt>
              <w:sdtPr>
                <w:rPr>
                  <w:rFonts w:ascii="Avenir Book" w:hAnsi="Avenir Book" w:cs="Times New Roman"/>
                  <w:sz w:val="22"/>
                  <w:szCs w:val="22"/>
                </w:rPr>
                <w:tag w:val="goog_rdk_80"/>
                <w:id w:val="336607038"/>
              </w:sdtPr>
              <w:sdtEndPr/>
              <w:sdtContent/>
            </w:sdt>
            <w:r w:rsidRPr="009821E4">
              <w:rPr>
                <w:rFonts w:ascii="Avenir Book" w:hAnsi="Avenir Book" w:cs="Times New Roman"/>
                <w:i/>
                <w:sz w:val="22"/>
                <w:szCs w:val="22"/>
              </w:rPr>
              <w:t>bacteria</w:t>
            </w:r>
            <w:r w:rsidRPr="009821E4">
              <w:rPr>
                <w:rFonts w:ascii="Avenir Book" w:hAnsi="Avenir Book" w:cs="Times New Roman"/>
                <w:i/>
                <w:sz w:val="22"/>
                <w:szCs w:val="22"/>
                <w:vertAlign w:val="superscript"/>
              </w:rPr>
              <w:t>142,143</w:t>
            </w:r>
            <w:r w:rsidR="00820632">
              <w:rPr>
                <w:rFonts w:ascii="Avenir Book" w:hAnsi="Avenir Book" w:cs="Times New Roman"/>
                <w:i/>
                <w:sz w:val="22"/>
                <w:szCs w:val="22"/>
              </w:rPr>
              <w:t>. Still,</w:t>
            </w:r>
            <w:r w:rsidRPr="009821E4">
              <w:rPr>
                <w:rFonts w:ascii="Avenir Book" w:hAnsi="Avenir Book" w:cs="Times New Roman"/>
                <w:i/>
                <w:sz w:val="22"/>
                <w:szCs w:val="22"/>
              </w:rPr>
              <w:t xml:space="preserve"> far less attention has been given to the unintended consequences of </w:t>
            </w:r>
            <w:sdt>
              <w:sdtPr>
                <w:rPr>
                  <w:rFonts w:ascii="Avenir Book" w:hAnsi="Avenir Book" w:cs="Times New Roman"/>
                  <w:sz w:val="22"/>
                  <w:szCs w:val="22"/>
                </w:rPr>
                <w:tag w:val="goog_rdk_81"/>
                <w:id w:val="-1915690082"/>
              </w:sdtPr>
              <w:sdtEndPr/>
              <w:sdtContent/>
            </w:sdt>
            <w:r w:rsidRPr="009821E4">
              <w:rPr>
                <w:rFonts w:ascii="Avenir Book" w:hAnsi="Avenir Book" w:cs="Times New Roman"/>
                <w:i/>
                <w:sz w:val="22"/>
                <w:szCs w:val="22"/>
              </w:rPr>
              <w:t>antimicrobial fungicides</w:t>
            </w:r>
            <w:r w:rsidRPr="009821E4">
              <w:rPr>
                <w:rFonts w:ascii="Avenir Book" w:hAnsi="Avenir Book" w:cs="Times New Roman"/>
                <w:i/>
                <w:sz w:val="22"/>
                <w:szCs w:val="22"/>
                <w:vertAlign w:val="superscript"/>
              </w:rPr>
              <w:t>144,145</w:t>
            </w:r>
            <w:r w:rsidRPr="009821E4">
              <w:rPr>
                <w:rFonts w:ascii="Avenir Book" w:hAnsi="Avenir Book" w:cs="Times New Roman"/>
                <w:i/>
                <w:sz w:val="22"/>
                <w:szCs w:val="22"/>
              </w:rPr>
              <w:t xml:space="preserve"> used in and on building materials, particularly paints. Dr. Ritchie Shoemaker was among the first to suggest that the fungicide benomyl, incorporated into some paints, may contribute to mutational changes in fungi, leading to more resistant and </w:t>
            </w:r>
            <w:sdt>
              <w:sdtPr>
                <w:rPr>
                  <w:rFonts w:ascii="Avenir Book" w:hAnsi="Avenir Book" w:cs="Times New Roman"/>
                  <w:sz w:val="22"/>
                  <w:szCs w:val="22"/>
                </w:rPr>
                <w:tag w:val="goog_rdk_82"/>
                <w:id w:val="1688958000"/>
                <w:showingPlcHdr/>
              </w:sdtPr>
              <w:sdtEndPr/>
              <w:sdtContent>
                <w:r w:rsidR="00BC63BC">
                  <w:rPr>
                    <w:rFonts w:ascii="Avenir Book" w:hAnsi="Avenir Book" w:cs="Times New Roman"/>
                    <w:sz w:val="22"/>
                    <w:szCs w:val="22"/>
                  </w:rPr>
                  <w:t xml:space="preserve">     </w:t>
                </w:r>
              </w:sdtContent>
            </w:sdt>
            <w:r w:rsidRPr="009821E4">
              <w:rPr>
                <w:rFonts w:ascii="Avenir Book" w:hAnsi="Avenir Book" w:cs="Times New Roman"/>
                <w:i/>
                <w:sz w:val="22"/>
                <w:szCs w:val="22"/>
              </w:rPr>
              <w:t>toxigenic strains</w:t>
            </w:r>
            <w:r w:rsidRPr="009821E4">
              <w:rPr>
                <w:rFonts w:ascii="Avenir Book" w:hAnsi="Avenir Book" w:cs="Times New Roman"/>
                <w:i/>
                <w:sz w:val="22"/>
                <w:szCs w:val="22"/>
                <w:vertAlign w:val="superscript"/>
              </w:rPr>
              <w:t>146,147</w:t>
            </w:r>
            <w:r w:rsidRPr="009821E4">
              <w:rPr>
                <w:rFonts w:ascii="Avenir Book" w:hAnsi="Avenir Book" w:cs="Times New Roman"/>
                <w:i/>
                <w:sz w:val="22"/>
                <w:szCs w:val="22"/>
              </w:rPr>
              <w:t xml:space="preserve">. </w:t>
            </w:r>
          </w:p>
          <w:p w14:paraId="7E6773D1" w14:textId="3FCE6BCB" w:rsidR="006239D9" w:rsidRPr="009821E4" w:rsidRDefault="006239D9" w:rsidP="006239D9">
            <w:pPr>
              <w:ind w:left="180" w:right="270"/>
              <w:jc w:val="both"/>
              <w:rPr>
                <w:rFonts w:ascii="Avenir Book" w:hAnsi="Avenir Book" w:cs="Times New Roman"/>
                <w:i/>
                <w:sz w:val="22"/>
                <w:szCs w:val="22"/>
              </w:rPr>
            </w:pPr>
            <w:r w:rsidRPr="009821E4">
              <w:rPr>
                <w:rFonts w:ascii="Avenir Book" w:hAnsi="Avenir Book" w:cs="Times New Roman"/>
                <w:i/>
                <w:sz w:val="22"/>
                <w:szCs w:val="22"/>
              </w:rPr>
              <w:t xml:space="preserve">While authoritative guidance documents have long discouraged the use of chemical biocides for mold remediation, favoring physical removal and source control instead, the allure of a "spray-and-walk-away" solution persists. This ongoing chemical arms race overlooks the fact that simple, non-toxic approaches such as physical removal and cleaning with mild, well-tolerated soaps are both effective, practical, and safer. This is already proving to be true, especially for sensitive individuals, but just like the miners' canary, </w:t>
            </w:r>
            <w:r w:rsidR="00644422" w:rsidRPr="009821E4">
              <w:rPr>
                <w:rFonts w:ascii="Avenir Book" w:hAnsi="Avenir Book" w:cs="Times New Roman"/>
                <w:i/>
                <w:sz w:val="22"/>
                <w:szCs w:val="22"/>
              </w:rPr>
              <w:t>all would best heed their warning</w:t>
            </w:r>
            <w:r w:rsidRPr="009821E4">
              <w:rPr>
                <w:rFonts w:ascii="Avenir Book" w:hAnsi="Avenir Book" w:cs="Times New Roman"/>
                <w:i/>
                <w:sz w:val="22"/>
                <w:szCs w:val="22"/>
              </w:rPr>
              <w:t>. By relying on fundamental principles of remediation—source elimination, containment, and thorough cleaning—we can effectively avoid trading one hazard for another.</w:t>
            </w:r>
            <w:r>
              <w:rPr>
                <w:rFonts w:ascii="Avenir Book" w:hAnsi="Avenir Book" w:cs="Times New Roman"/>
                <w:i/>
                <w:sz w:val="22"/>
                <w:szCs w:val="22"/>
              </w:rPr>
              <w:t xml:space="preserve"> </w:t>
            </w:r>
          </w:p>
          <w:p w14:paraId="2FE1E4D8" w14:textId="77777777" w:rsidR="006239D9" w:rsidRPr="006040F5" w:rsidRDefault="006239D9" w:rsidP="006239D9">
            <w:pPr>
              <w:ind w:left="180" w:right="270"/>
              <w:jc w:val="both"/>
              <w:rPr>
                <w:rFonts w:ascii="Avenir Book" w:hAnsi="Avenir Book" w:cs="Times New Roman"/>
                <w:b/>
                <w:bCs/>
                <w:iCs/>
                <w:sz w:val="22"/>
                <w:szCs w:val="22"/>
              </w:rPr>
            </w:pPr>
          </w:p>
        </w:tc>
      </w:tr>
    </w:tbl>
    <w:p w14:paraId="13973D63" w14:textId="77777777" w:rsidR="00A36B72" w:rsidRPr="009821E4" w:rsidRDefault="00A36B72" w:rsidP="009821E4">
      <w:pPr>
        <w:jc w:val="both"/>
        <w:rPr>
          <w:rFonts w:ascii="Avenir Book" w:eastAsia="Times New Roman" w:hAnsi="Avenir Book" w:cs="Times New Roman"/>
          <w:sz w:val="22"/>
          <w:szCs w:val="22"/>
        </w:rPr>
      </w:pPr>
    </w:p>
    <w:p w14:paraId="15530A2F" w14:textId="77777777" w:rsidR="000F1EAF" w:rsidRDefault="000F1EAF" w:rsidP="000F1EAF">
      <w:pPr>
        <w:jc w:val="both"/>
        <w:rPr>
          <w:rFonts w:ascii="Avenir Book" w:eastAsia="Times New Roman" w:hAnsi="Avenir Book" w:cs="Times New Roman"/>
          <w:sz w:val="22"/>
          <w:szCs w:val="22"/>
        </w:rPr>
        <w:sectPr w:rsidR="000F1EAF" w:rsidSect="00E55AA9">
          <w:type w:val="continuous"/>
          <w:pgSz w:w="11906" w:h="16838"/>
          <w:pgMar w:top="288" w:right="720" w:bottom="288" w:left="720" w:header="283" w:footer="283" w:gutter="0"/>
          <w:cols w:space="576"/>
          <w:docGrid w:linePitch="360"/>
        </w:sectPr>
      </w:pPr>
    </w:p>
    <w:p w14:paraId="2C1AC7DF"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Environmental restoration, by contrast, implies something more comprehensive. It reflects a growing understanding that buildings function as integrated, dynamic ecosystems. Remediation remains a valuable component, but it's not enough to remove what is visible; we must also correct the deficiencies that resulted in the original damage and address</w:t>
      </w:r>
      <w:r w:rsidRPr="009821E4">
        <w:rPr>
          <w:rFonts w:ascii="Avenir Book" w:eastAsia="Times New Roman" w:hAnsi="Avenir Book" w:cs="Times New Roman"/>
          <w:color w:val="FF0000"/>
          <w:sz w:val="22"/>
          <w:szCs w:val="22"/>
        </w:rPr>
        <w:t xml:space="preserve"> </w:t>
      </w:r>
      <w:r w:rsidRPr="009821E4">
        <w:rPr>
          <w:rFonts w:ascii="Avenir Book" w:eastAsia="Times New Roman" w:hAnsi="Avenir Book" w:cs="Times New Roman"/>
          <w:sz w:val="22"/>
          <w:szCs w:val="22"/>
        </w:rPr>
        <w:t>what is hidden and what is invisible—Conditions 2 and 3—to truly return a space to its intended function. Restoration requires evaluating both the symptoms (contamination) and the causes (building failures), then implementing a plan that returns the structure to a healthful, functional state while minimizing the likelihood of recurrence.</w:t>
      </w:r>
    </w:p>
    <w:p w14:paraId="60EE61C9" w14:textId="77777777" w:rsidR="008E09B6" w:rsidRPr="009821E4" w:rsidRDefault="008E09B6" w:rsidP="000F1EAF">
      <w:pPr>
        <w:jc w:val="both"/>
        <w:rPr>
          <w:rFonts w:ascii="Avenir Book" w:eastAsia="Times New Roman" w:hAnsi="Avenir Book" w:cs="Times New Roman"/>
          <w:sz w:val="22"/>
          <w:szCs w:val="22"/>
        </w:rPr>
      </w:pPr>
    </w:p>
    <w:p w14:paraId="1A7285BD" w14:textId="77777777"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This shift in language mirrors a necessary shift in practice: one that brings together a wider range of disciplines. Medical professionals, environmental consultants, building scientists, restoration technicians, and even architects are increasingly part of the conversation. Their collaboration is crucial—not only for identifying visible mold and damaged materials but for detecting concealed pathways, subvisible particulate loads, and recirculated contaminants that affect air and surface quality.</w:t>
      </w:r>
    </w:p>
    <w:p w14:paraId="56D63740" w14:textId="77777777" w:rsidR="008E09B6" w:rsidRDefault="008E09B6" w:rsidP="000F1EAF">
      <w:pPr>
        <w:jc w:val="both"/>
        <w:rPr>
          <w:rFonts w:ascii="Avenir Book" w:eastAsia="Times New Roman" w:hAnsi="Avenir Book" w:cs="Times New Roman"/>
          <w:sz w:val="22"/>
          <w:szCs w:val="22"/>
        </w:rPr>
      </w:pPr>
    </w:p>
    <w:p w14:paraId="36816154" w14:textId="50991B70"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The cornerstone of environmental restoration is not just identifying causation but fixing the cause. Roof leaks, plumbing failures, negative pressure zones, and vapor intrusion must not only be diagnosed but </w:t>
      </w:r>
      <w:r w:rsidR="00010699">
        <w:rPr>
          <w:rFonts w:ascii="Avenir Book" w:eastAsia="Times New Roman" w:hAnsi="Avenir Book" w:cs="Times New Roman"/>
          <w:sz w:val="22"/>
          <w:szCs w:val="22"/>
        </w:rPr>
        <w:t xml:space="preserve">also </w:t>
      </w:r>
      <w:r w:rsidRPr="009821E4">
        <w:rPr>
          <w:rFonts w:ascii="Avenir Book" w:eastAsia="Times New Roman" w:hAnsi="Avenir Book" w:cs="Times New Roman"/>
          <w:sz w:val="22"/>
          <w:szCs w:val="22"/>
        </w:rPr>
        <w:t xml:space="preserve">permanently corrected. Restoration also means anticipating failure—considering building vulnerabilities like deferred maintenance, aging infrastructure, or poor </w:t>
      </w:r>
      <w:r w:rsidRPr="009821E4">
        <w:rPr>
          <w:rFonts w:ascii="Avenir Book" w:eastAsia="Times New Roman" w:hAnsi="Avenir Book" w:cs="Times New Roman"/>
          <w:sz w:val="22"/>
          <w:szCs w:val="22"/>
        </w:rPr>
        <w:t>design—and implementing durable, forward-looking solutions.</w:t>
      </w:r>
    </w:p>
    <w:p w14:paraId="26C08966" w14:textId="77777777" w:rsidR="008E09B6" w:rsidRDefault="008E09B6" w:rsidP="000F1EAF">
      <w:pPr>
        <w:jc w:val="both"/>
        <w:rPr>
          <w:rFonts w:ascii="Avenir Book" w:eastAsia="Times New Roman" w:hAnsi="Avenir Book" w:cs="Times New Roman"/>
          <w:sz w:val="22"/>
          <w:szCs w:val="22"/>
        </w:rPr>
      </w:pPr>
    </w:p>
    <w:p w14:paraId="1C7F99CD" w14:textId="3F989D4B"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This broader approach is especially urgent </w:t>
      </w:r>
      <w:r w:rsidR="00644422" w:rsidRPr="009821E4">
        <w:rPr>
          <w:rFonts w:ascii="Avenir Book" w:eastAsia="Times New Roman" w:hAnsi="Avenir Book" w:cs="Times New Roman"/>
          <w:sz w:val="22"/>
          <w:szCs w:val="22"/>
        </w:rPr>
        <w:t>considering</w:t>
      </w:r>
      <w:r w:rsidRPr="009821E4">
        <w:rPr>
          <w:rFonts w:ascii="Avenir Book" w:eastAsia="Times New Roman" w:hAnsi="Avenir Book" w:cs="Times New Roman"/>
          <w:sz w:val="22"/>
          <w:szCs w:val="22"/>
        </w:rPr>
        <w:t xml:space="preserve"> climate change and extreme weather patterns, which increase the frequency and severity of water intrusion events. Buildings must now be evaluated not only for their present condition but also to anticipate their future needs</w:t>
      </w:r>
      <w:r w:rsidR="00EC628A">
        <w:rPr>
          <w:rFonts w:ascii="Avenir Book" w:eastAsia="Times New Roman" w:hAnsi="Avenir Book" w:cs="Times New Roman"/>
          <w:sz w:val="22"/>
          <w:szCs w:val="22"/>
        </w:rPr>
        <w:t xml:space="preserve"> </w:t>
      </w:r>
      <w:r w:rsidRPr="009821E4">
        <w:rPr>
          <w:rFonts w:ascii="Avenir Book" w:eastAsia="Times New Roman" w:hAnsi="Avenir Book" w:cs="Times New Roman"/>
          <w:sz w:val="22"/>
          <w:szCs w:val="22"/>
        </w:rPr>
        <w:t xml:space="preserve">for their resilience in the face of future stressors. In this context, environmental restoration </w:t>
      </w:r>
      <w:r w:rsidR="00644422" w:rsidRPr="009821E4">
        <w:rPr>
          <w:rFonts w:ascii="Avenir Book" w:eastAsia="Times New Roman" w:hAnsi="Avenir Book" w:cs="Times New Roman"/>
          <w:sz w:val="22"/>
          <w:szCs w:val="22"/>
        </w:rPr>
        <w:t>is not</w:t>
      </w:r>
      <w:r w:rsidRPr="009821E4">
        <w:rPr>
          <w:rFonts w:ascii="Avenir Book" w:eastAsia="Times New Roman" w:hAnsi="Avenir Book" w:cs="Times New Roman"/>
          <w:sz w:val="22"/>
          <w:szCs w:val="22"/>
        </w:rPr>
        <w:t xml:space="preserve"> a luxury</w:t>
      </w:r>
      <w:r w:rsidR="004F705E">
        <w:rPr>
          <w:rFonts w:ascii="Avenir Book" w:eastAsia="Times New Roman" w:hAnsi="Avenir Book" w:cs="Times New Roman"/>
          <w:sz w:val="22"/>
          <w:szCs w:val="22"/>
        </w:rPr>
        <w:t>;</w:t>
      </w:r>
      <w:r w:rsidR="004F705E" w:rsidRPr="009821E4">
        <w:rPr>
          <w:rFonts w:ascii="Avenir Book" w:eastAsia="Times New Roman" w:hAnsi="Avenir Book" w:cs="Times New Roman"/>
          <w:sz w:val="22"/>
          <w:szCs w:val="22"/>
        </w:rPr>
        <w:t xml:space="preserve"> </w:t>
      </w:r>
      <w:r w:rsidR="00644422" w:rsidRPr="009821E4">
        <w:rPr>
          <w:rFonts w:ascii="Avenir Book" w:eastAsia="Times New Roman" w:hAnsi="Avenir Book" w:cs="Times New Roman"/>
          <w:sz w:val="22"/>
          <w:szCs w:val="22"/>
        </w:rPr>
        <w:t>it is</w:t>
      </w:r>
      <w:r w:rsidRPr="009821E4">
        <w:rPr>
          <w:rFonts w:ascii="Avenir Book" w:eastAsia="Times New Roman" w:hAnsi="Avenir Book" w:cs="Times New Roman"/>
          <w:sz w:val="22"/>
          <w:szCs w:val="22"/>
        </w:rPr>
        <w:t xml:space="preserve"> a necessity.</w:t>
      </w:r>
    </w:p>
    <w:p w14:paraId="661E0367" w14:textId="77777777" w:rsidR="008E09B6" w:rsidRDefault="008E09B6" w:rsidP="000F1EAF">
      <w:pPr>
        <w:jc w:val="both"/>
        <w:rPr>
          <w:rFonts w:ascii="Avenir Book" w:eastAsia="Times New Roman" w:hAnsi="Avenir Book" w:cs="Times New Roman"/>
          <w:b/>
          <w:sz w:val="22"/>
          <w:szCs w:val="22"/>
        </w:rPr>
      </w:pPr>
    </w:p>
    <w:p w14:paraId="663C0F7C" w14:textId="4363C8E0" w:rsidR="00A36B72" w:rsidRPr="008E09B6" w:rsidRDefault="00A36B72" w:rsidP="000F1EAF">
      <w:pPr>
        <w:jc w:val="both"/>
        <w:rPr>
          <w:rFonts w:ascii="Avenir Book" w:eastAsia="Times New Roman" w:hAnsi="Avenir Book" w:cs="Times New Roman"/>
          <w:b/>
          <w:color w:val="11639F"/>
          <w:sz w:val="28"/>
          <w:szCs w:val="32"/>
        </w:rPr>
      </w:pPr>
      <w:r w:rsidRPr="008E09B6">
        <w:rPr>
          <w:rFonts w:ascii="Avenir Book" w:eastAsia="Times New Roman" w:hAnsi="Avenir Book" w:cs="Times New Roman"/>
          <w:b/>
          <w:color w:val="11639F"/>
          <w:sz w:val="28"/>
          <w:szCs w:val="32"/>
        </w:rPr>
        <w:t>Stepwise Remediation and Commissioning</w:t>
      </w:r>
    </w:p>
    <w:p w14:paraId="292AE2DD"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Meaningful remediation is an important first consideration. It does not occur in a single step. It is a deliberate, multistage process that begins with investigation and progresses through source removal, cleaning, and final verification. This approach, central to both industry standards and field-based frameworks, reflects the evolution from reactionary cleanup toward proactive environmental restoration.</w:t>
      </w:r>
    </w:p>
    <w:p w14:paraId="3CA0F721" w14:textId="77777777" w:rsidR="008E09B6" w:rsidRPr="009821E4" w:rsidRDefault="008E09B6" w:rsidP="000F1EAF">
      <w:pPr>
        <w:jc w:val="both"/>
        <w:rPr>
          <w:rFonts w:ascii="Avenir Book" w:eastAsia="Times New Roman" w:hAnsi="Avenir Book" w:cs="Times New Roman"/>
          <w:sz w:val="22"/>
          <w:szCs w:val="22"/>
        </w:rPr>
      </w:pPr>
    </w:p>
    <w:p w14:paraId="6D4DF174" w14:textId="64869EC5"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The ANSI/IICRC S520 Standard for Professional Mold </w:t>
      </w:r>
      <w:sdt>
        <w:sdtPr>
          <w:rPr>
            <w:rFonts w:ascii="Avenir Book" w:hAnsi="Avenir Book" w:cs="Times New Roman"/>
            <w:sz w:val="22"/>
            <w:szCs w:val="22"/>
          </w:rPr>
          <w:tag w:val="goog_rdk_83"/>
          <w:id w:val="299090089"/>
        </w:sdtPr>
        <w:sdtEndPr/>
        <w:sdtContent/>
      </w:sdt>
      <w:r w:rsidRPr="009821E4">
        <w:rPr>
          <w:rFonts w:ascii="Avenir Book" w:eastAsia="Times New Roman" w:hAnsi="Avenir Book" w:cs="Times New Roman"/>
          <w:sz w:val="22"/>
          <w:szCs w:val="22"/>
        </w:rPr>
        <w:t>Remediation</w:t>
      </w:r>
      <w:r w:rsidRPr="009821E4">
        <w:rPr>
          <w:rFonts w:ascii="Avenir Book" w:eastAsia="Times New Roman" w:hAnsi="Avenir Book" w:cs="Times New Roman"/>
          <w:sz w:val="22"/>
          <w:szCs w:val="22"/>
          <w:vertAlign w:val="superscript"/>
        </w:rPr>
        <w:t>23</w:t>
      </w:r>
      <w:r w:rsidRPr="009821E4">
        <w:rPr>
          <w:rFonts w:ascii="Avenir Book" w:eastAsia="Times New Roman" w:hAnsi="Avenir Book" w:cs="Times New Roman"/>
          <w:sz w:val="22"/>
          <w:szCs w:val="22"/>
        </w:rPr>
        <w:t xml:space="preserve"> establishes foundational principles for containment, removal of Condition 3 materials, and post-remediation evaluation. However, field experience suggests that these components must be woven into a sequenced strategy—one that addresses not only visible growth but also secondary and subvisible contamination (Condition 2), and that includes corrective actions for both causes and consequences.</w:t>
      </w:r>
    </w:p>
    <w:p w14:paraId="1AE97B7D" w14:textId="77777777" w:rsidR="0089052B" w:rsidRDefault="0089052B" w:rsidP="000F1EAF">
      <w:pPr>
        <w:jc w:val="both"/>
        <w:rPr>
          <w:rFonts w:ascii="Avenir Book" w:eastAsia="Times New Roman" w:hAnsi="Avenir Book" w:cs="Times New Roman"/>
          <w:sz w:val="22"/>
          <w:szCs w:val="22"/>
        </w:rPr>
      </w:pPr>
    </w:p>
    <w:p w14:paraId="6234DFAE" w14:textId="3A5A954C"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lastRenderedPageBreak/>
        <w:t xml:space="preserve">A five-stage </w:t>
      </w:r>
      <w:sdt>
        <w:sdtPr>
          <w:rPr>
            <w:rFonts w:ascii="Avenir Book" w:hAnsi="Avenir Book" w:cs="Times New Roman"/>
            <w:sz w:val="22"/>
            <w:szCs w:val="22"/>
          </w:rPr>
          <w:tag w:val="goog_rdk_84"/>
          <w:id w:val="-747976739"/>
        </w:sdtPr>
        <w:sdtEndPr/>
        <w:sdtContent/>
      </w:sdt>
      <w:r w:rsidRPr="009821E4">
        <w:rPr>
          <w:rFonts w:ascii="Avenir Book" w:eastAsia="Times New Roman" w:hAnsi="Avenir Book" w:cs="Times New Roman"/>
          <w:sz w:val="22"/>
          <w:szCs w:val="22"/>
        </w:rPr>
        <w:t>model</w:t>
      </w:r>
      <w:r w:rsidRPr="009821E4">
        <w:rPr>
          <w:rFonts w:ascii="Avenir Book" w:eastAsia="Times New Roman" w:hAnsi="Avenir Book" w:cs="Times New Roman"/>
          <w:sz w:val="22"/>
          <w:szCs w:val="22"/>
          <w:vertAlign w:val="superscript"/>
        </w:rPr>
        <w:t>45</w:t>
      </w:r>
      <w:r w:rsidRPr="009821E4">
        <w:rPr>
          <w:rFonts w:ascii="Avenir Book" w:eastAsia="Times New Roman" w:hAnsi="Avenir Book" w:cs="Times New Roman"/>
          <w:sz w:val="22"/>
          <w:szCs w:val="22"/>
        </w:rPr>
        <w:t xml:space="preserve"> has emerged from applied practice to meet these needs. Though structured differently </w:t>
      </w:r>
      <w:r w:rsidR="00A4440C">
        <w:rPr>
          <w:rFonts w:ascii="Avenir Book" w:eastAsia="Times New Roman" w:hAnsi="Avenir Book" w:cs="Times New Roman"/>
          <w:sz w:val="22"/>
          <w:szCs w:val="22"/>
          <w:lang w:val="en-US"/>
        </w:rPr>
        <w:t>to</w:t>
      </w:r>
      <w:r w:rsidR="004F705E" w:rsidRPr="009821E4">
        <w:rPr>
          <w:rFonts w:ascii="Avenir Book" w:eastAsia="Times New Roman" w:hAnsi="Avenir Book" w:cs="Times New Roman"/>
          <w:sz w:val="22"/>
          <w:szCs w:val="22"/>
        </w:rPr>
        <w:t xml:space="preserve"> </w:t>
      </w:r>
      <w:r w:rsidRPr="009821E4">
        <w:rPr>
          <w:rFonts w:ascii="Avenir Book" w:eastAsia="Times New Roman" w:hAnsi="Avenir Book" w:cs="Times New Roman"/>
          <w:sz w:val="22"/>
          <w:szCs w:val="22"/>
        </w:rPr>
        <w:t xml:space="preserve">the S520, it aligns closely with its core concepts and expands them to support building-wide, occupant-centered recovery. </w:t>
      </w:r>
    </w:p>
    <w:p w14:paraId="2D45CE55" w14:textId="401E6A70" w:rsidR="002C429C" w:rsidRPr="002C429C" w:rsidRDefault="00A36B72" w:rsidP="000F1EAF">
      <w:pPr>
        <w:pStyle w:val="ListParagraph"/>
        <w:numPr>
          <w:ilvl w:val="0"/>
          <w:numId w:val="12"/>
        </w:numPr>
        <w:jc w:val="both"/>
        <w:rPr>
          <w:rFonts w:ascii="Avenir Book" w:eastAsia="Times New Roman" w:hAnsi="Avenir Book" w:cs="Times New Roman"/>
          <w:b/>
          <w:sz w:val="22"/>
          <w:szCs w:val="22"/>
        </w:rPr>
      </w:pPr>
      <w:r w:rsidRPr="002C429C">
        <w:rPr>
          <w:rFonts w:ascii="Avenir Book" w:eastAsia="Times New Roman" w:hAnsi="Avenir Book" w:cs="Times New Roman"/>
          <w:b/>
          <w:sz w:val="22"/>
          <w:szCs w:val="22"/>
        </w:rPr>
        <w:t>Stage One:</w:t>
      </w:r>
      <w:r w:rsidRPr="008E09B6">
        <w:rPr>
          <w:rFonts w:ascii="Avenir Book" w:eastAsia="Times New Roman" w:hAnsi="Avenir Book" w:cs="Times New Roman"/>
          <w:bCs/>
          <w:sz w:val="22"/>
          <w:szCs w:val="22"/>
        </w:rPr>
        <w:t xml:space="preserve"> Is There a Problem?</w:t>
      </w:r>
      <w:r w:rsidR="002C429C">
        <w:rPr>
          <w:rFonts w:ascii="Avenir Book" w:eastAsia="Times New Roman" w:hAnsi="Avenir Book" w:cs="Times New Roman"/>
          <w:bCs/>
          <w:sz w:val="22"/>
          <w:szCs w:val="22"/>
        </w:rPr>
        <w:t xml:space="preserve"> </w:t>
      </w:r>
      <w:r w:rsidRPr="002C429C">
        <w:rPr>
          <w:rFonts w:ascii="Avenir Book" w:eastAsia="Times New Roman" w:hAnsi="Avenir Book" w:cs="Times New Roman"/>
          <w:sz w:val="22"/>
          <w:szCs w:val="22"/>
        </w:rPr>
        <w:t>This stage involves evaluating building history, occupant symptoms, and visible and non-visible signs of water damage or microbial growth and</w:t>
      </w:r>
      <w:r w:rsidR="00A4440C">
        <w:rPr>
          <w:rFonts w:ascii="Avenir Book" w:eastAsia="Times New Roman" w:hAnsi="Avenir Book" w:cs="Times New Roman"/>
          <w:sz w:val="22"/>
          <w:szCs w:val="22"/>
        </w:rPr>
        <w:t xml:space="preserve"> </w:t>
      </w:r>
      <w:r w:rsidR="00E25F5E">
        <w:rPr>
          <w:rFonts w:ascii="Avenir Book" w:eastAsia="Times New Roman" w:hAnsi="Avenir Book" w:cs="Times New Roman"/>
          <w:sz w:val="22"/>
          <w:szCs w:val="22"/>
        </w:rPr>
        <w:t>MSQPCR</w:t>
      </w:r>
      <w:r w:rsidR="00A4440C">
        <w:rPr>
          <w:rFonts w:ascii="Avenir Book" w:eastAsia="Times New Roman" w:hAnsi="Avenir Book" w:cs="Times New Roman"/>
          <w:sz w:val="22"/>
          <w:szCs w:val="22"/>
        </w:rPr>
        <w:t xml:space="preserve"> </w:t>
      </w:r>
      <w:r w:rsidRPr="002C429C">
        <w:rPr>
          <w:rFonts w:ascii="Avenir Book" w:eastAsia="Times New Roman" w:hAnsi="Avenir Book" w:cs="Times New Roman"/>
          <w:sz w:val="22"/>
          <w:szCs w:val="22"/>
        </w:rPr>
        <w:t>sampling when hidden conditions are suspected. It reflects S520's emphasis on initial inspection and condition assessment.</w:t>
      </w:r>
    </w:p>
    <w:p w14:paraId="7FD2FE66" w14:textId="77777777" w:rsidR="002C429C" w:rsidRPr="002C429C" w:rsidRDefault="00A36B72" w:rsidP="000F1EAF">
      <w:pPr>
        <w:pStyle w:val="ListParagraph"/>
        <w:numPr>
          <w:ilvl w:val="0"/>
          <w:numId w:val="12"/>
        </w:numPr>
        <w:jc w:val="both"/>
        <w:rPr>
          <w:rFonts w:ascii="Avenir Book" w:eastAsia="Times New Roman" w:hAnsi="Avenir Book" w:cs="Times New Roman"/>
          <w:b/>
          <w:sz w:val="22"/>
          <w:szCs w:val="22"/>
        </w:rPr>
      </w:pPr>
      <w:r w:rsidRPr="002C429C">
        <w:rPr>
          <w:rFonts w:ascii="Avenir Book" w:eastAsia="Times New Roman" w:hAnsi="Avenir Book" w:cs="Times New Roman"/>
          <w:bCs/>
          <w:sz w:val="22"/>
          <w:szCs w:val="22"/>
        </w:rPr>
        <w:t>Stage Two: Develop a Strategy, Team Assembly, and Locating Hidden Problems</w:t>
      </w:r>
      <w:r w:rsidR="002C429C" w:rsidRPr="002C429C">
        <w:rPr>
          <w:rFonts w:ascii="Avenir Book" w:eastAsia="Times New Roman" w:hAnsi="Avenir Book" w:cs="Times New Roman"/>
          <w:bCs/>
          <w:sz w:val="22"/>
          <w:szCs w:val="22"/>
        </w:rPr>
        <w:t>.</w:t>
      </w:r>
      <w:r w:rsidRPr="002C429C">
        <w:rPr>
          <w:rFonts w:ascii="Avenir Book" w:eastAsia="Times New Roman" w:hAnsi="Avenir Book" w:cs="Times New Roman"/>
          <w:bCs/>
          <w:sz w:val="22"/>
          <w:szCs w:val="22"/>
        </w:rPr>
        <w:t xml:space="preserve"> Informed by initial findings, this stage includes selecting the right professionals, defining project goals, and using investigative tools to identify concealed contamination and moisture pathways. It echoes S520's recommendations for qualified personnel and comprehensive project scoping.</w:t>
      </w:r>
    </w:p>
    <w:p w14:paraId="2F78F07A" w14:textId="77777777" w:rsidR="002C429C" w:rsidRPr="002C429C" w:rsidRDefault="00A36B72" w:rsidP="000F1EAF">
      <w:pPr>
        <w:pStyle w:val="ListParagraph"/>
        <w:numPr>
          <w:ilvl w:val="0"/>
          <w:numId w:val="12"/>
        </w:numPr>
        <w:jc w:val="both"/>
        <w:rPr>
          <w:rFonts w:ascii="Avenir Book" w:eastAsia="Times New Roman" w:hAnsi="Avenir Book" w:cs="Times New Roman"/>
          <w:b/>
          <w:sz w:val="22"/>
          <w:szCs w:val="22"/>
        </w:rPr>
      </w:pPr>
      <w:r w:rsidRPr="002C429C">
        <w:rPr>
          <w:rFonts w:ascii="Avenir Book" w:eastAsia="Times New Roman" w:hAnsi="Avenir Book" w:cs="Times New Roman"/>
          <w:bCs/>
          <w:sz w:val="22"/>
          <w:szCs w:val="22"/>
        </w:rPr>
        <w:t>Stage Three: Remediation Planning and Execution</w:t>
      </w:r>
      <w:r w:rsidR="002C429C" w:rsidRPr="002C429C">
        <w:rPr>
          <w:rFonts w:ascii="Avenir Book" w:eastAsia="Times New Roman" w:hAnsi="Avenir Book" w:cs="Times New Roman"/>
          <w:bCs/>
          <w:sz w:val="22"/>
          <w:szCs w:val="22"/>
        </w:rPr>
        <w:t xml:space="preserve">. </w:t>
      </w:r>
      <w:r w:rsidRPr="002C429C">
        <w:rPr>
          <w:rFonts w:ascii="Avenir Book" w:eastAsia="Times New Roman" w:hAnsi="Avenir Book" w:cs="Times New Roman"/>
          <w:bCs/>
          <w:sz w:val="22"/>
          <w:szCs w:val="22"/>
        </w:rPr>
        <w:t>This is where source material removal (Condition 3), particle reduction (Condition 2), and engineering controls are applied. It encompasses many of the procedural elements outlined in S520 but adds greater emphasis on sequencing, health-based decision-making, and adaptive planning.</w:t>
      </w:r>
    </w:p>
    <w:p w14:paraId="1998089A" w14:textId="69E61EC1" w:rsidR="002C429C" w:rsidRPr="002C429C" w:rsidRDefault="00A36B72" w:rsidP="000F1EAF">
      <w:pPr>
        <w:pStyle w:val="ListParagraph"/>
        <w:numPr>
          <w:ilvl w:val="0"/>
          <w:numId w:val="12"/>
        </w:numPr>
        <w:jc w:val="both"/>
        <w:rPr>
          <w:rFonts w:ascii="Avenir Book" w:eastAsia="Times New Roman" w:hAnsi="Avenir Book" w:cs="Times New Roman"/>
          <w:b/>
          <w:sz w:val="22"/>
          <w:szCs w:val="22"/>
        </w:rPr>
      </w:pPr>
      <w:r w:rsidRPr="002C429C">
        <w:rPr>
          <w:rFonts w:ascii="Avenir Book" w:eastAsia="Times New Roman" w:hAnsi="Avenir Book" w:cs="Times New Roman"/>
          <w:bCs/>
          <w:sz w:val="22"/>
          <w:szCs w:val="22"/>
        </w:rPr>
        <w:t>Stage Four: Quality Control and Monitoring</w:t>
      </w:r>
      <w:r w:rsidR="002C429C" w:rsidRPr="002C429C">
        <w:rPr>
          <w:rFonts w:ascii="Avenir Book" w:eastAsia="Times New Roman" w:hAnsi="Avenir Book" w:cs="Times New Roman"/>
          <w:bCs/>
          <w:sz w:val="22"/>
          <w:szCs w:val="22"/>
        </w:rPr>
        <w:t xml:space="preserve">. </w:t>
      </w:r>
      <w:r w:rsidRPr="002C429C">
        <w:rPr>
          <w:rFonts w:ascii="Avenir Book" w:eastAsia="Times New Roman" w:hAnsi="Avenir Book" w:cs="Times New Roman"/>
          <w:bCs/>
          <w:sz w:val="22"/>
          <w:szCs w:val="22"/>
        </w:rPr>
        <w:t>Here, environmental sampling, visual inspections, and functional testing are used to determine whether remediation and cleaning goals have been met. This goes beyond basic clearance and incorporates tools such as protein-based assays and occupant reactivity as validation indicators.</w:t>
      </w:r>
    </w:p>
    <w:p w14:paraId="1FB738C4" w14:textId="207091D9" w:rsidR="00A36B72" w:rsidRPr="002C429C" w:rsidRDefault="00A36B72" w:rsidP="000F1EAF">
      <w:pPr>
        <w:pStyle w:val="ListParagraph"/>
        <w:numPr>
          <w:ilvl w:val="0"/>
          <w:numId w:val="12"/>
        </w:numPr>
        <w:jc w:val="both"/>
        <w:rPr>
          <w:rFonts w:ascii="Avenir Book" w:eastAsia="Times New Roman" w:hAnsi="Avenir Book" w:cs="Times New Roman"/>
          <w:b/>
          <w:sz w:val="22"/>
          <w:szCs w:val="22"/>
        </w:rPr>
      </w:pPr>
      <w:r w:rsidRPr="002C429C">
        <w:rPr>
          <w:rFonts w:ascii="Avenir Book" w:eastAsia="Times New Roman" w:hAnsi="Avenir Book" w:cs="Times New Roman"/>
          <w:bCs/>
          <w:sz w:val="22"/>
          <w:szCs w:val="22"/>
        </w:rPr>
        <w:t>Stage Five: Post-Remediation Reconstruction and Maintenance</w:t>
      </w:r>
      <w:r w:rsidR="002C429C" w:rsidRPr="002C429C">
        <w:rPr>
          <w:rFonts w:ascii="Avenir Book" w:eastAsia="Times New Roman" w:hAnsi="Avenir Book" w:cs="Times New Roman"/>
          <w:bCs/>
          <w:sz w:val="22"/>
          <w:szCs w:val="22"/>
        </w:rPr>
        <w:t>.</w:t>
      </w:r>
      <w:r w:rsidRPr="002C429C">
        <w:rPr>
          <w:rFonts w:ascii="Avenir Book" w:eastAsia="Times New Roman" w:hAnsi="Avenir Book" w:cs="Times New Roman"/>
          <w:sz w:val="22"/>
          <w:szCs w:val="22"/>
        </w:rPr>
        <w:t xml:space="preserve"> This stage reframes rebuilding as an opportunity for environmental restoration, where durable materials, improved ventilation, drainage design, and occupant education are used to reduce future risk. It reflects S520's call for moisture control and post-project documentation but deepens the long-term preventive framework.</w:t>
      </w:r>
    </w:p>
    <w:p w14:paraId="70FB5189" w14:textId="77777777" w:rsidR="0089052B" w:rsidRDefault="0089052B" w:rsidP="000F1EAF">
      <w:pPr>
        <w:jc w:val="both"/>
        <w:rPr>
          <w:rFonts w:ascii="Avenir Book" w:eastAsia="Times New Roman" w:hAnsi="Avenir Book" w:cs="Times New Roman"/>
          <w:sz w:val="22"/>
          <w:szCs w:val="22"/>
        </w:rPr>
      </w:pPr>
    </w:p>
    <w:p w14:paraId="53098D5F" w14:textId="3C36CAAC"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This stepwise methodology bridges the technical rigor of S520 with a holistic restoration philosophy. It recognizes that visible removal is necessary but not sufficient, and that restoring a home to a health-supporting condition involves more than cleanup</w:t>
      </w:r>
      <w:r w:rsidR="00D5139A">
        <w:rPr>
          <w:rFonts w:ascii="Avenir Book" w:eastAsia="Times New Roman" w:hAnsi="Avenir Book" w:cs="Times New Roman"/>
          <w:sz w:val="22"/>
          <w:szCs w:val="22"/>
        </w:rPr>
        <w:t>;</w:t>
      </w:r>
      <w:r w:rsidR="00D5139A" w:rsidRPr="009821E4">
        <w:rPr>
          <w:rFonts w:ascii="Avenir Book" w:eastAsia="Times New Roman" w:hAnsi="Avenir Book" w:cs="Times New Roman"/>
          <w:sz w:val="22"/>
          <w:szCs w:val="22"/>
        </w:rPr>
        <w:t xml:space="preserve"> </w:t>
      </w:r>
      <w:r w:rsidRPr="009821E4">
        <w:rPr>
          <w:rFonts w:ascii="Avenir Book" w:eastAsia="Times New Roman" w:hAnsi="Avenir Book" w:cs="Times New Roman"/>
          <w:sz w:val="22"/>
          <w:szCs w:val="22"/>
        </w:rPr>
        <w:t>it requires prevention, monitoring, and system-level awareness.</w:t>
      </w:r>
    </w:p>
    <w:p w14:paraId="37974274" w14:textId="77777777" w:rsidR="000F1EAF" w:rsidRPr="009821E4" w:rsidRDefault="000F1EAF" w:rsidP="000F1EAF">
      <w:pPr>
        <w:jc w:val="both"/>
        <w:rPr>
          <w:rFonts w:ascii="Avenir Book" w:eastAsia="Times New Roman" w:hAnsi="Avenir Book" w:cs="Times New Roman"/>
          <w:sz w:val="22"/>
          <w:szCs w:val="22"/>
        </w:rPr>
      </w:pPr>
    </w:p>
    <w:p w14:paraId="30814B02" w14:textId="77777777"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By embedding this staged approach within professional practice, remediation shifts from episodic intervention to environmental restoration with lasting impact, especially for sensitive populations.</w:t>
      </w:r>
    </w:p>
    <w:p w14:paraId="6B2748DE" w14:textId="77777777" w:rsidR="00A36B72" w:rsidRPr="009821E4" w:rsidRDefault="00A36B72" w:rsidP="000F1EAF">
      <w:pPr>
        <w:jc w:val="both"/>
        <w:rPr>
          <w:rFonts w:ascii="Avenir Book" w:eastAsia="Times New Roman" w:hAnsi="Avenir Book" w:cs="Times New Roman"/>
          <w:sz w:val="22"/>
          <w:szCs w:val="22"/>
        </w:rPr>
      </w:pPr>
    </w:p>
    <w:p w14:paraId="5D234EE1" w14:textId="77777777" w:rsidR="00A36B72" w:rsidRPr="0089052B" w:rsidRDefault="00A36B72" w:rsidP="000F1EAF">
      <w:pPr>
        <w:jc w:val="both"/>
        <w:rPr>
          <w:rFonts w:ascii="Avenir Book" w:eastAsia="Times New Roman" w:hAnsi="Avenir Book" w:cs="Times New Roman"/>
          <w:i/>
          <w:strike/>
          <w:color w:val="11639F"/>
          <w:sz w:val="28"/>
          <w:szCs w:val="32"/>
        </w:rPr>
      </w:pPr>
      <w:r w:rsidRPr="0089052B">
        <w:rPr>
          <w:rFonts w:ascii="Avenir Book" w:eastAsia="Times New Roman" w:hAnsi="Avenir Book" w:cs="Times New Roman"/>
          <w:b/>
          <w:color w:val="11639F"/>
          <w:sz w:val="28"/>
          <w:szCs w:val="32"/>
        </w:rPr>
        <w:t>HVAC and Whole-System Cleaning</w:t>
      </w:r>
    </w:p>
    <w:p w14:paraId="2E95ECAC"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In medically important cases, HVAC cleaning must not be seen as optional or secondary—it is central to environmental restoration. Buildings cannot be addressed piecemeal. HVAC systems connect rooms, floors, and materials into a unified network that distributes air—and microbial contaminants—throughout the structure. Cleaning only isolated zones is ineffective and may leave sensitive occupants exposed.</w:t>
      </w:r>
    </w:p>
    <w:p w14:paraId="48A561A5" w14:textId="461ED1FD"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The 2021 NADCA ACR </w:t>
      </w:r>
      <w:sdt>
        <w:sdtPr>
          <w:rPr>
            <w:rFonts w:ascii="Avenir Book" w:hAnsi="Avenir Book" w:cs="Times New Roman"/>
            <w:sz w:val="22"/>
            <w:szCs w:val="22"/>
          </w:rPr>
          <w:tag w:val="goog_rdk_85"/>
          <w:id w:val="-798930948"/>
        </w:sdtPr>
        <w:sdtEndPr/>
        <w:sdtContent/>
      </w:sdt>
      <w:r w:rsidRPr="009821E4">
        <w:rPr>
          <w:rFonts w:ascii="Avenir Book" w:eastAsia="Times New Roman" w:hAnsi="Avenir Book" w:cs="Times New Roman"/>
          <w:i/>
          <w:iCs/>
          <w:sz w:val="22"/>
          <w:szCs w:val="22"/>
        </w:rPr>
        <w:t>Standard Assessment, Cleaning, and Restoration of HVAC Systems</w:t>
      </w:r>
      <w:r w:rsidRPr="009821E4">
        <w:rPr>
          <w:rFonts w:ascii="Avenir Book" w:eastAsia="Times New Roman" w:hAnsi="Avenir Book" w:cs="Times New Roman"/>
          <w:i/>
          <w:iCs/>
          <w:sz w:val="22"/>
          <w:szCs w:val="22"/>
          <w:vertAlign w:val="superscript"/>
        </w:rPr>
        <w:t>148</w:t>
      </w:r>
      <w:r w:rsidRPr="009821E4">
        <w:rPr>
          <w:rFonts w:ascii="Avenir Book" w:eastAsia="Times New Roman" w:hAnsi="Avenir Book" w:cs="Times New Roman"/>
          <w:sz w:val="22"/>
          <w:szCs w:val="22"/>
        </w:rPr>
        <w:t xml:space="preserve"> emphasize</w:t>
      </w:r>
      <w:r w:rsidR="00365FE9">
        <w:rPr>
          <w:rFonts w:ascii="Avenir Book" w:eastAsia="Times New Roman" w:hAnsi="Avenir Book" w:cs="Times New Roman"/>
          <w:sz w:val="22"/>
          <w:szCs w:val="22"/>
          <w:lang w:val="en-US"/>
        </w:rPr>
        <w:t>s</w:t>
      </w:r>
      <w:r w:rsidRPr="009821E4">
        <w:rPr>
          <w:rFonts w:ascii="Avenir Book" w:eastAsia="Times New Roman" w:hAnsi="Avenir Book" w:cs="Times New Roman"/>
          <w:sz w:val="22"/>
          <w:szCs w:val="22"/>
        </w:rPr>
        <w:t xml:space="preserve"> this integration. It mandates whole-system inspection and cleaning under continuous negative pressure and requires surface testing through vacuum or visual inspection to verify cleanliness. The standard recognizes that components such as ducts, coils, drain pans, grilles, and blower assemblies must be addressed—especially when conditions indicate microbial contamination (Condition 2 or 3).</w:t>
      </w:r>
    </w:p>
    <w:p w14:paraId="143415A5" w14:textId="77777777" w:rsidR="0089052B" w:rsidRPr="009821E4" w:rsidRDefault="0089052B" w:rsidP="000F1EAF">
      <w:pPr>
        <w:jc w:val="both"/>
        <w:rPr>
          <w:rFonts w:ascii="Avenir Book" w:eastAsia="Times New Roman" w:hAnsi="Avenir Book" w:cs="Times New Roman"/>
          <w:sz w:val="22"/>
          <w:szCs w:val="22"/>
        </w:rPr>
      </w:pPr>
    </w:p>
    <w:p w14:paraId="0B9FC4A5"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HVAC systems often act as microbial reservoirs: spores and hyphal fragments settle on ducts, insulation, and surfaces; when disturbed, they can become re-entrained into the air stream. The NADCA Standard prescribes negative-pressure containment during cleaning to prevent cross-contamination, along with mechanical agitation and HEPA vacuuming to remove settled particulates. Components damaged beyond cleaning—such as porous liner or fragmented coils—must be replaced.</w:t>
      </w:r>
    </w:p>
    <w:p w14:paraId="03CCD394" w14:textId="77777777" w:rsidR="0089052B" w:rsidRPr="009821E4" w:rsidRDefault="0089052B" w:rsidP="000F1EAF">
      <w:pPr>
        <w:jc w:val="both"/>
        <w:rPr>
          <w:rFonts w:ascii="Avenir Book" w:eastAsia="Times New Roman" w:hAnsi="Avenir Book" w:cs="Times New Roman"/>
          <w:sz w:val="22"/>
          <w:szCs w:val="22"/>
        </w:rPr>
      </w:pPr>
    </w:p>
    <w:p w14:paraId="0B47AF48" w14:textId="77777777"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Treating HVAC systems as part of a holistic restoration acknowledges their role both as sources of contamination and as conduits linking all areas of the building. A truly health-supporting remediation considers the system's capacity to recirculate contaminants, and uses NADCA ACR protocols to clean, test, and document each component. Combining this with surface sampling or particle-counting verification ensures that cleanup extends beyond visual standards and meets the needs of medically sensitive occupants.</w:t>
      </w:r>
    </w:p>
    <w:p w14:paraId="581C1F9E" w14:textId="77777777" w:rsidR="00A36B72" w:rsidRPr="009821E4" w:rsidRDefault="00A36B72" w:rsidP="000F1EAF">
      <w:pPr>
        <w:jc w:val="both"/>
        <w:rPr>
          <w:rFonts w:ascii="Avenir Book" w:eastAsia="Times New Roman" w:hAnsi="Avenir Book" w:cs="Times New Roman"/>
          <w:sz w:val="22"/>
          <w:szCs w:val="22"/>
        </w:rPr>
      </w:pPr>
    </w:p>
    <w:p w14:paraId="49F5CEA8" w14:textId="77777777" w:rsidR="00A36B72" w:rsidRPr="0089052B" w:rsidRDefault="00A36B72" w:rsidP="000F1EAF">
      <w:pPr>
        <w:jc w:val="both"/>
        <w:rPr>
          <w:rFonts w:ascii="Avenir Book" w:eastAsia="Times New Roman" w:hAnsi="Avenir Book" w:cs="Times New Roman"/>
          <w:i/>
          <w:strike/>
          <w:color w:val="11639F"/>
          <w:sz w:val="28"/>
          <w:szCs w:val="32"/>
        </w:rPr>
      </w:pPr>
      <w:r w:rsidRPr="0089052B">
        <w:rPr>
          <w:rFonts w:ascii="Avenir Book" w:eastAsia="Times New Roman" w:hAnsi="Avenir Book" w:cs="Times New Roman"/>
          <w:b/>
          <w:color w:val="11639F"/>
          <w:sz w:val="28"/>
          <w:szCs w:val="32"/>
        </w:rPr>
        <w:t>Material and Furnishing Considerations</w:t>
      </w:r>
    </w:p>
    <w:p w14:paraId="7605F033"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Personal possessions often serve as both reservoirs and vectors of microbial contamination. In water-damaged buildings, the materials that make up furniture, textiles, and household goods can absorb moisture, harbor particulate matter, and amplify exposure risk—especially in homes occupied by individuals with heightened environmental sensitivities. Addressing these items is essential to effective environmental restoration, and yet it remains one of the most overlooked and inconsistently managed aspects of remediation.</w:t>
      </w:r>
    </w:p>
    <w:p w14:paraId="4453491C" w14:textId="77777777" w:rsidR="0089052B" w:rsidRPr="009821E4" w:rsidRDefault="0089052B" w:rsidP="000F1EAF">
      <w:pPr>
        <w:jc w:val="both"/>
        <w:rPr>
          <w:rFonts w:ascii="Avenir Book" w:eastAsia="Times New Roman" w:hAnsi="Avenir Book" w:cs="Times New Roman"/>
          <w:sz w:val="22"/>
          <w:szCs w:val="22"/>
        </w:rPr>
      </w:pPr>
    </w:p>
    <w:p w14:paraId="5CDCC751" w14:textId="276AA5D0"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To evaluate contents properly, materials must be considered </w:t>
      </w:r>
      <w:r w:rsidR="00DE5887">
        <w:rPr>
          <w:rFonts w:ascii="Avenir Book" w:eastAsia="Times New Roman" w:hAnsi="Avenir Book" w:cs="Times New Roman"/>
          <w:sz w:val="22"/>
          <w:szCs w:val="22"/>
        </w:rPr>
        <w:t>in terms of</w:t>
      </w:r>
      <w:r w:rsidR="00DE5887" w:rsidRPr="009821E4">
        <w:rPr>
          <w:rFonts w:ascii="Avenir Book" w:eastAsia="Times New Roman" w:hAnsi="Avenir Book" w:cs="Times New Roman"/>
          <w:sz w:val="22"/>
          <w:szCs w:val="22"/>
        </w:rPr>
        <w:t xml:space="preserve"> </w:t>
      </w:r>
      <w:r w:rsidRPr="009821E4">
        <w:rPr>
          <w:rFonts w:ascii="Avenir Book" w:eastAsia="Times New Roman" w:hAnsi="Avenir Book" w:cs="Times New Roman"/>
          <w:sz w:val="22"/>
          <w:szCs w:val="22"/>
        </w:rPr>
        <w:t xml:space="preserve">porosity and cleanability. Non-porous items—such as metal, glass, and some plastics—can often be effectively cleaned using HEPA vacuuming and wiping with a mild detergent solution. Semi-porous items—such as finished wood, sealed surfaces, and some composites—require more nuanced judgment, often based on the integrity of coatings and the water damage exposure </w:t>
      </w:r>
      <w:sdt>
        <w:sdtPr>
          <w:rPr>
            <w:rFonts w:ascii="Avenir Book" w:hAnsi="Avenir Book" w:cs="Times New Roman"/>
            <w:sz w:val="22"/>
            <w:szCs w:val="22"/>
          </w:rPr>
          <w:tag w:val="goog_rdk_86"/>
          <w:id w:val="222358673"/>
        </w:sdtPr>
        <w:sdtEndPr/>
        <w:sdtContent/>
      </w:sdt>
      <w:r w:rsidRPr="009821E4">
        <w:rPr>
          <w:rFonts w:ascii="Avenir Book" w:eastAsia="Times New Roman" w:hAnsi="Avenir Book" w:cs="Times New Roman"/>
          <w:sz w:val="22"/>
          <w:szCs w:val="22"/>
        </w:rPr>
        <w:t>history</w:t>
      </w:r>
      <w:r w:rsidRPr="009821E4">
        <w:rPr>
          <w:rFonts w:ascii="Avenir Book" w:eastAsia="Times New Roman" w:hAnsi="Avenir Book" w:cs="Times New Roman"/>
          <w:sz w:val="22"/>
          <w:szCs w:val="22"/>
          <w:vertAlign w:val="superscript"/>
        </w:rPr>
        <w:t>45</w:t>
      </w:r>
      <w:r w:rsidRPr="009821E4">
        <w:rPr>
          <w:rFonts w:ascii="Avenir Book" w:eastAsia="Times New Roman" w:hAnsi="Avenir Book" w:cs="Times New Roman"/>
          <w:sz w:val="22"/>
          <w:szCs w:val="22"/>
        </w:rPr>
        <w:t xml:space="preserve">. </w:t>
      </w:r>
    </w:p>
    <w:p w14:paraId="11B76D1C" w14:textId="77777777" w:rsidR="0089052B" w:rsidRPr="009821E4" w:rsidRDefault="0089052B" w:rsidP="000F1EAF">
      <w:pPr>
        <w:jc w:val="both"/>
        <w:rPr>
          <w:rFonts w:ascii="Avenir Book" w:eastAsia="Times New Roman" w:hAnsi="Avenir Book" w:cs="Times New Roman"/>
          <w:strike/>
          <w:sz w:val="22"/>
          <w:szCs w:val="22"/>
        </w:rPr>
      </w:pPr>
    </w:p>
    <w:p w14:paraId="1CD752C2"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Porous materials—including upholstered furniture, books, paper, clothing, mattresses, and unfinished wood—present one of the most complex challenges in Condition 2 environments. While these items do not support active microbial growth unless wet, they can readily collect and retain settled spores, hyphal fragments, and other microbial particles that settle onto them from active growth sites or particle reservoirs elsewhere in the building. However, not all porous materials respond to contamination in the same way, and effective decontamination depends heavily on the type of </w:t>
      </w:r>
      <w:r w:rsidRPr="009821E4">
        <w:rPr>
          <w:rFonts w:ascii="Avenir Book" w:eastAsia="Times New Roman" w:hAnsi="Avenir Book" w:cs="Times New Roman"/>
          <w:sz w:val="22"/>
          <w:szCs w:val="22"/>
        </w:rPr>
        <w:lastRenderedPageBreak/>
        <w:t>material, the depth of particulate deposition, and the cleaning methods applied.</w:t>
      </w:r>
    </w:p>
    <w:p w14:paraId="1A76AFF6" w14:textId="77777777" w:rsidR="0089052B" w:rsidRPr="00BC63BC" w:rsidRDefault="0089052B" w:rsidP="000F1EAF">
      <w:pPr>
        <w:jc w:val="both"/>
        <w:rPr>
          <w:rFonts w:ascii="Avenir Book" w:eastAsia="Times New Roman" w:hAnsi="Avenir Book" w:cs="Times New Roman"/>
          <w:sz w:val="16"/>
          <w:szCs w:val="16"/>
        </w:rPr>
      </w:pPr>
    </w:p>
    <w:p w14:paraId="0B8E9846" w14:textId="77777777"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Many thin or flexible porous items, such as clothing, bedding, and linens, can often be restored with proper laundering using a well-tolerated </w:t>
      </w:r>
      <w:sdt>
        <w:sdtPr>
          <w:rPr>
            <w:rFonts w:ascii="Avenir Book" w:hAnsi="Avenir Book" w:cs="Times New Roman"/>
            <w:sz w:val="22"/>
            <w:szCs w:val="22"/>
          </w:rPr>
          <w:tag w:val="goog_rdk_87"/>
          <w:id w:val="-759882671"/>
        </w:sdtPr>
        <w:sdtEndPr/>
        <w:sdtContent/>
      </w:sdt>
      <w:r w:rsidRPr="009821E4">
        <w:rPr>
          <w:rFonts w:ascii="Avenir Book" w:eastAsia="Times New Roman" w:hAnsi="Avenir Book" w:cs="Times New Roman"/>
          <w:sz w:val="22"/>
          <w:szCs w:val="22"/>
        </w:rPr>
        <w:t>detergent</w:t>
      </w:r>
      <w:r w:rsidRPr="009821E4">
        <w:rPr>
          <w:rFonts w:ascii="Avenir Book" w:eastAsia="Times New Roman" w:hAnsi="Avenir Book" w:cs="Times New Roman"/>
          <w:sz w:val="22"/>
          <w:szCs w:val="22"/>
          <w:vertAlign w:val="superscript"/>
        </w:rPr>
        <w:t>149</w:t>
      </w:r>
      <w:r w:rsidRPr="009821E4">
        <w:rPr>
          <w:rFonts w:ascii="Avenir Book" w:eastAsia="Times New Roman" w:hAnsi="Avenir Book" w:cs="Times New Roman"/>
          <w:sz w:val="22"/>
          <w:szCs w:val="22"/>
        </w:rPr>
        <w:t>. Similarly, individual sheets of paper and the covers of books can frequently be cleaned using dry disposable microfiber wipes, which are effective in removing surface-level spores, particles and fragments without introducing moisture.</w:t>
      </w:r>
    </w:p>
    <w:p w14:paraId="50D3D16A" w14:textId="77777777" w:rsidR="0089052B" w:rsidRPr="00BC63BC" w:rsidRDefault="0089052B" w:rsidP="000F1EAF">
      <w:pPr>
        <w:jc w:val="both"/>
        <w:rPr>
          <w:rFonts w:ascii="Avenir Book" w:eastAsia="Times New Roman" w:hAnsi="Avenir Book" w:cs="Times New Roman"/>
          <w:sz w:val="16"/>
          <w:szCs w:val="16"/>
        </w:rPr>
      </w:pPr>
    </w:p>
    <w:p w14:paraId="787466F4" w14:textId="513B3892"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Thicker, porous items, such as upholstered furniture, mattresses, and area rugs, require more careful evaluation. If spores and fragments remain on or near the surface, thorough HEPA vacuuming may be sufficient to reduce </w:t>
      </w:r>
      <w:r w:rsidR="00452D5F">
        <w:rPr>
          <w:rFonts w:ascii="Avenir Book" w:eastAsia="Times New Roman" w:hAnsi="Avenir Book" w:cs="Times New Roman"/>
          <w:sz w:val="22"/>
          <w:szCs w:val="22"/>
        </w:rPr>
        <w:t xml:space="preserve">the </w:t>
      </w:r>
      <w:r w:rsidRPr="009821E4">
        <w:rPr>
          <w:rFonts w:ascii="Avenir Book" w:eastAsia="Times New Roman" w:hAnsi="Avenir Book" w:cs="Times New Roman"/>
          <w:sz w:val="22"/>
          <w:szCs w:val="22"/>
        </w:rPr>
        <w:t>particulate load. However, when microbial residues have been ground into the material, for example, through extended use in a contaminated space or repeated pressure and movement, decontamination becomes less reliable. In such cases, the internal padding or substrate may retain particles in a way that makes cleaning inconsistent or unprovable, and disposal may be warranted, especially in homes occupied by sensitive individuals.</w:t>
      </w:r>
    </w:p>
    <w:p w14:paraId="7EB850E1" w14:textId="77777777" w:rsidR="0089052B" w:rsidRPr="00BC63BC" w:rsidRDefault="0089052B" w:rsidP="000F1EAF">
      <w:pPr>
        <w:jc w:val="both"/>
        <w:rPr>
          <w:rFonts w:ascii="Avenir Book" w:eastAsia="Times New Roman" w:hAnsi="Avenir Book" w:cs="Times New Roman"/>
          <w:sz w:val="16"/>
          <w:szCs w:val="16"/>
        </w:rPr>
      </w:pPr>
    </w:p>
    <w:p w14:paraId="249EA151" w14:textId="6915A719"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Recognizing these material-specific responses is essential in Condition 2 remediation. Decisions about cleaning versus disposal must be guided by cleanability, intended use, and occupant vulnerability—not just by cost or appearance. The goal is not simply to remove visible dust, but to restore materials to a condition that no longer contributes to ongoing exposure.</w:t>
      </w:r>
    </w:p>
    <w:p w14:paraId="2938E745" w14:textId="77777777" w:rsidR="005276CD" w:rsidRPr="00BC63BC" w:rsidRDefault="005276CD" w:rsidP="000F1EAF">
      <w:pPr>
        <w:jc w:val="both"/>
        <w:rPr>
          <w:rFonts w:ascii="Avenir Book" w:eastAsia="Times New Roman" w:hAnsi="Avenir Book" w:cs="Times New Roman"/>
          <w:sz w:val="16"/>
          <w:szCs w:val="16"/>
        </w:rPr>
      </w:pPr>
    </w:p>
    <w:p w14:paraId="749F71DF"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 xml:space="preserve">The </w:t>
      </w:r>
      <w:sdt>
        <w:sdtPr>
          <w:rPr>
            <w:rFonts w:ascii="Avenir Book" w:hAnsi="Avenir Book" w:cs="Times New Roman"/>
            <w:sz w:val="22"/>
            <w:szCs w:val="22"/>
          </w:rPr>
          <w:tag w:val="goog_rdk_88"/>
          <w:id w:val="1212713262"/>
        </w:sdtPr>
        <w:sdtEndPr/>
        <w:sdtContent/>
      </w:sdt>
      <w:r w:rsidRPr="009821E4">
        <w:rPr>
          <w:rFonts w:ascii="Avenir Book" w:eastAsia="Times New Roman" w:hAnsi="Avenir Book" w:cs="Times New Roman"/>
          <w:sz w:val="22"/>
          <w:szCs w:val="22"/>
        </w:rPr>
        <w:t>ANSI/IICRC S520 Standard</w:t>
      </w:r>
      <w:r w:rsidRPr="009821E4">
        <w:rPr>
          <w:rFonts w:ascii="Avenir Book" w:eastAsia="Times New Roman" w:hAnsi="Avenir Book" w:cs="Times New Roman"/>
          <w:sz w:val="22"/>
          <w:szCs w:val="22"/>
          <w:vertAlign w:val="superscript"/>
        </w:rPr>
        <w:t>23</w:t>
      </w:r>
      <w:r w:rsidRPr="009821E4">
        <w:rPr>
          <w:rFonts w:ascii="Avenir Book" w:eastAsia="Times New Roman" w:hAnsi="Avenir Book" w:cs="Times New Roman"/>
          <w:sz w:val="22"/>
          <w:szCs w:val="22"/>
        </w:rPr>
        <w:t xml:space="preserve"> recognizes that the ability to restore contents depends on both material type and contamination level. It offers guidance on when porous materials can be cleaned and when they should be discarded, emphasizing the importance of occupant sensitivity, intended use, and potential for re-exposure. However, in medically important cases, these decisions must lean toward conservatism. The burden of proof for retention lies not in aesthetics or monetary value, but in demonstrable cleanability and absence of reactivity.</w:t>
      </w:r>
    </w:p>
    <w:p w14:paraId="5C8ECB9B" w14:textId="77777777" w:rsidR="005276CD" w:rsidRPr="009821E4" w:rsidRDefault="005276CD" w:rsidP="000F1EAF">
      <w:pPr>
        <w:jc w:val="both"/>
        <w:rPr>
          <w:rFonts w:ascii="Avenir Book" w:eastAsia="Times New Roman" w:hAnsi="Avenir Book" w:cs="Times New Roman"/>
          <w:sz w:val="22"/>
          <w:szCs w:val="22"/>
        </w:rPr>
      </w:pPr>
    </w:p>
    <w:p w14:paraId="23E062DD" w14:textId="69F02617"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Contents also complicate remediation logistics. They can obstruct access to structural surfaces, impede airflow during drying, and re-release particles during or after cleaning. Their location, especially when stored in HVAC closets, crawlspaces, or attics</w:t>
      </w:r>
      <w:r w:rsidR="00452D5F">
        <w:rPr>
          <w:rFonts w:ascii="Avenir Book" w:eastAsia="Times New Roman" w:hAnsi="Avenir Book" w:cs="Times New Roman"/>
          <w:sz w:val="22"/>
          <w:szCs w:val="22"/>
        </w:rPr>
        <w:t xml:space="preserve">, </w:t>
      </w:r>
      <w:r w:rsidRPr="009821E4">
        <w:rPr>
          <w:rFonts w:ascii="Avenir Book" w:eastAsia="Times New Roman" w:hAnsi="Avenir Book" w:cs="Times New Roman"/>
          <w:sz w:val="22"/>
          <w:szCs w:val="22"/>
        </w:rPr>
        <w:t>can influence broader building contamination. For these reasons, a systematic content strategy is critical. This includes:</w:t>
      </w:r>
    </w:p>
    <w:p w14:paraId="723D6CA8" w14:textId="77777777" w:rsidR="00A36B72" w:rsidRPr="005276CD" w:rsidRDefault="00A36B72" w:rsidP="000F1EAF">
      <w:pPr>
        <w:pStyle w:val="ListParagraph"/>
        <w:numPr>
          <w:ilvl w:val="0"/>
          <w:numId w:val="13"/>
        </w:numPr>
        <w:jc w:val="both"/>
        <w:rPr>
          <w:rFonts w:ascii="Avenir Book" w:hAnsi="Avenir Book" w:cs="Times New Roman"/>
          <w:sz w:val="22"/>
          <w:szCs w:val="22"/>
        </w:rPr>
      </w:pPr>
      <w:r w:rsidRPr="005276CD">
        <w:rPr>
          <w:rFonts w:ascii="Avenir Book" w:eastAsia="Times New Roman" w:hAnsi="Avenir Book" w:cs="Times New Roman"/>
          <w:sz w:val="22"/>
          <w:szCs w:val="22"/>
        </w:rPr>
        <w:t>Sorting items by material type and exposure history,</w:t>
      </w:r>
    </w:p>
    <w:p w14:paraId="397E67F6" w14:textId="77777777" w:rsidR="00A36B72" w:rsidRPr="005276CD" w:rsidRDefault="00A36B72" w:rsidP="000F1EAF">
      <w:pPr>
        <w:pStyle w:val="ListParagraph"/>
        <w:numPr>
          <w:ilvl w:val="0"/>
          <w:numId w:val="13"/>
        </w:numPr>
        <w:jc w:val="both"/>
        <w:rPr>
          <w:rFonts w:ascii="Avenir Book" w:hAnsi="Avenir Book" w:cs="Times New Roman"/>
          <w:sz w:val="22"/>
          <w:szCs w:val="22"/>
        </w:rPr>
      </w:pPr>
      <w:r w:rsidRPr="005276CD">
        <w:rPr>
          <w:rFonts w:ascii="Avenir Book" w:eastAsia="Times New Roman" w:hAnsi="Avenir Book" w:cs="Times New Roman"/>
          <w:sz w:val="22"/>
          <w:szCs w:val="22"/>
        </w:rPr>
        <w:t>Prioritizing cleaning or replacement based on occupant health status,</w:t>
      </w:r>
    </w:p>
    <w:p w14:paraId="416716D1" w14:textId="77777777" w:rsidR="00A36B72" w:rsidRPr="005276CD" w:rsidRDefault="00A36B72" w:rsidP="000F1EAF">
      <w:pPr>
        <w:pStyle w:val="ListParagraph"/>
        <w:numPr>
          <w:ilvl w:val="0"/>
          <w:numId w:val="13"/>
        </w:numPr>
        <w:jc w:val="both"/>
        <w:rPr>
          <w:rFonts w:ascii="Avenir Book" w:hAnsi="Avenir Book" w:cs="Times New Roman"/>
          <w:sz w:val="22"/>
          <w:szCs w:val="22"/>
        </w:rPr>
      </w:pPr>
      <w:r w:rsidRPr="005276CD">
        <w:rPr>
          <w:rFonts w:ascii="Avenir Book" w:eastAsia="Times New Roman" w:hAnsi="Avenir Book" w:cs="Times New Roman"/>
          <w:sz w:val="22"/>
          <w:szCs w:val="22"/>
        </w:rPr>
        <w:t>Using surface sampling or reactive testing (where applicable) to guide decisions.</w:t>
      </w:r>
    </w:p>
    <w:p w14:paraId="5FF9C0C7" w14:textId="77777777" w:rsidR="005276CD" w:rsidRPr="00BC63BC" w:rsidRDefault="005276CD" w:rsidP="000F1EAF">
      <w:pPr>
        <w:jc w:val="both"/>
        <w:rPr>
          <w:rFonts w:ascii="Avenir Book" w:eastAsia="Times New Roman" w:hAnsi="Avenir Book" w:cs="Times New Roman"/>
          <w:sz w:val="16"/>
          <w:szCs w:val="16"/>
        </w:rPr>
      </w:pPr>
    </w:p>
    <w:p w14:paraId="2AE33096" w14:textId="6D25D8C4"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In high-sensitivity projects, materials that are visibly clean but chemically or biologically reactive to the occupant may still need to be discarded. Restoration is not about returning contents to a showroom condition; it is about achieving a level of cleanliness that supports recovery and prevents re-exposure.</w:t>
      </w:r>
    </w:p>
    <w:p w14:paraId="68CBAA1B" w14:textId="77777777" w:rsidR="00A36B72" w:rsidRPr="009821E4" w:rsidRDefault="00A36B72" w:rsidP="000F1EAF">
      <w:pPr>
        <w:jc w:val="both"/>
        <w:rPr>
          <w:rFonts w:ascii="Avenir Book" w:eastAsia="Times New Roman" w:hAnsi="Avenir Book" w:cs="Times New Roman"/>
          <w:sz w:val="22"/>
          <w:szCs w:val="22"/>
        </w:rPr>
      </w:pPr>
    </w:p>
    <w:p w14:paraId="6849AFD0" w14:textId="77777777" w:rsidR="00A36B72" w:rsidRPr="005276CD" w:rsidRDefault="00A36B72" w:rsidP="000F1EAF">
      <w:pPr>
        <w:jc w:val="both"/>
        <w:rPr>
          <w:rFonts w:ascii="Avenir Book" w:eastAsia="Times New Roman" w:hAnsi="Avenir Book" w:cs="Times New Roman"/>
          <w:i/>
          <w:strike/>
          <w:color w:val="11639F"/>
          <w:sz w:val="28"/>
          <w:szCs w:val="32"/>
        </w:rPr>
      </w:pPr>
      <w:r w:rsidRPr="005276CD">
        <w:rPr>
          <w:rFonts w:ascii="Avenir Book" w:eastAsia="Times New Roman" w:hAnsi="Avenir Book" w:cs="Times New Roman"/>
          <w:b/>
          <w:color w:val="11639F"/>
          <w:sz w:val="28"/>
          <w:szCs w:val="32"/>
        </w:rPr>
        <w:t>Patient-Centered Remediation: Balancing Risk, Budget, and Clinical Sensitivity</w:t>
      </w:r>
    </w:p>
    <w:p w14:paraId="6DEAAEE1"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In conventional mold remediation, decisions are often driven by material costs, insurance policy limits, or what is visibly apparent. But in homes where occupants have medically documented sensitivity to microbial or environmental contaminants, these factors must be secondary to a more urgent priority: protecting health. Patient-centered remediation means customizing the scope, strategy, and endpoints of the project to reflect the clinical realities of the people who will live in the space.</w:t>
      </w:r>
    </w:p>
    <w:p w14:paraId="149CF67A" w14:textId="77777777" w:rsidR="005276CD" w:rsidRPr="00BC63BC" w:rsidRDefault="005276CD" w:rsidP="000F1EAF">
      <w:pPr>
        <w:jc w:val="both"/>
        <w:rPr>
          <w:rFonts w:ascii="Avenir Book" w:eastAsia="Times New Roman" w:hAnsi="Avenir Book" w:cs="Times New Roman"/>
          <w:sz w:val="16"/>
          <w:szCs w:val="16"/>
        </w:rPr>
      </w:pPr>
    </w:p>
    <w:p w14:paraId="5F43D24A"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This approach begins by acknowledging that medically vulnerable individuals—particularly those with conditions like Chronic Inflammatory Response Syndrome (CIRS), mast cell activation disorders, or chemically induced hypersensitivity—often react not only to active mold growth but to fine and ultrafine particles, microbial fragments, and even residual compounds absorbed by surfaces or contents. For these individuals, standard visual clearance or generic spore reduction may be inadequate. Even low levels of Condition 2 contamination can be enough to trigger persistent symptoms.</w:t>
      </w:r>
    </w:p>
    <w:p w14:paraId="29393C67" w14:textId="77777777" w:rsidR="005276CD" w:rsidRPr="00BC63BC" w:rsidRDefault="005276CD" w:rsidP="000F1EAF">
      <w:pPr>
        <w:jc w:val="both"/>
        <w:rPr>
          <w:rFonts w:ascii="Avenir Book" w:eastAsia="Times New Roman" w:hAnsi="Avenir Book" w:cs="Times New Roman"/>
          <w:sz w:val="16"/>
          <w:szCs w:val="16"/>
        </w:rPr>
      </w:pPr>
    </w:p>
    <w:p w14:paraId="47E75818" w14:textId="2C5478C1"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A patient-centered strategy</w:t>
      </w:r>
      <w:r w:rsidR="00DD4F52">
        <w:rPr>
          <w:rFonts w:ascii="Avenir Book" w:eastAsia="Times New Roman" w:hAnsi="Avenir Book" w:cs="Times New Roman"/>
          <w:sz w:val="22"/>
          <w:szCs w:val="22"/>
        </w:rPr>
        <w:t>,</w:t>
      </w:r>
      <w:r w:rsidRPr="009821E4">
        <w:rPr>
          <w:rFonts w:ascii="Avenir Book" w:eastAsia="Times New Roman" w:hAnsi="Avenir Book" w:cs="Times New Roman"/>
          <w:sz w:val="22"/>
          <w:szCs w:val="22"/>
        </w:rPr>
        <w:t xml:space="preserve"> therefore</w:t>
      </w:r>
      <w:r w:rsidR="00DD4F52">
        <w:rPr>
          <w:rFonts w:ascii="Avenir Book" w:eastAsia="Times New Roman" w:hAnsi="Avenir Book" w:cs="Times New Roman"/>
          <w:sz w:val="22"/>
          <w:szCs w:val="22"/>
        </w:rPr>
        <w:t>,</w:t>
      </w:r>
      <w:r w:rsidRPr="009821E4">
        <w:rPr>
          <w:rFonts w:ascii="Avenir Book" w:eastAsia="Times New Roman" w:hAnsi="Avenir Book" w:cs="Times New Roman"/>
          <w:sz w:val="22"/>
          <w:szCs w:val="22"/>
        </w:rPr>
        <w:t xml:space="preserve"> requires integrating clinical context into remediation planning. This includes:</w:t>
      </w:r>
    </w:p>
    <w:p w14:paraId="112B6A30" w14:textId="77777777" w:rsidR="00A36B72" w:rsidRPr="005276CD" w:rsidRDefault="00A36B72" w:rsidP="000F1EAF">
      <w:pPr>
        <w:pStyle w:val="ListParagraph"/>
        <w:numPr>
          <w:ilvl w:val="0"/>
          <w:numId w:val="14"/>
        </w:numPr>
        <w:jc w:val="both"/>
        <w:rPr>
          <w:rFonts w:ascii="Avenir Book" w:hAnsi="Avenir Book" w:cs="Times New Roman"/>
          <w:sz w:val="22"/>
          <w:szCs w:val="22"/>
        </w:rPr>
      </w:pPr>
      <w:r w:rsidRPr="005276CD">
        <w:rPr>
          <w:rFonts w:ascii="Avenir Book" w:eastAsia="Times New Roman" w:hAnsi="Avenir Book" w:cs="Times New Roman"/>
          <w:sz w:val="22"/>
          <w:szCs w:val="22"/>
        </w:rPr>
        <w:t>Understanding the occupant's known triggers (e.g., specific fungal species, VOCs, cleaning agents),</w:t>
      </w:r>
    </w:p>
    <w:p w14:paraId="49956244" w14:textId="0427F3B2" w:rsidR="00A36B72" w:rsidRPr="005276CD" w:rsidRDefault="00A36B72" w:rsidP="000F1EAF">
      <w:pPr>
        <w:pStyle w:val="ListParagraph"/>
        <w:numPr>
          <w:ilvl w:val="0"/>
          <w:numId w:val="14"/>
        </w:numPr>
        <w:jc w:val="both"/>
        <w:rPr>
          <w:rFonts w:ascii="Avenir Book" w:hAnsi="Avenir Book" w:cs="Times New Roman"/>
          <w:sz w:val="22"/>
          <w:szCs w:val="22"/>
        </w:rPr>
      </w:pPr>
      <w:r w:rsidRPr="005276CD">
        <w:rPr>
          <w:rFonts w:ascii="Avenir Book" w:eastAsia="Times New Roman" w:hAnsi="Avenir Book" w:cs="Times New Roman"/>
          <w:sz w:val="22"/>
          <w:szCs w:val="22"/>
        </w:rPr>
        <w:t xml:space="preserve">Communicating with treating physicians or environmental health </w:t>
      </w:r>
      <w:r w:rsidR="00644422" w:rsidRPr="005276CD">
        <w:rPr>
          <w:rFonts w:ascii="Avenir Book" w:eastAsia="Times New Roman" w:hAnsi="Avenir Book" w:cs="Times New Roman"/>
          <w:sz w:val="22"/>
          <w:szCs w:val="22"/>
        </w:rPr>
        <w:t>consultants,</w:t>
      </w:r>
      <w:r w:rsidRPr="005276CD">
        <w:rPr>
          <w:rFonts w:ascii="Avenir Book" w:eastAsia="Times New Roman" w:hAnsi="Avenir Book" w:cs="Times New Roman"/>
          <w:sz w:val="22"/>
          <w:szCs w:val="22"/>
        </w:rPr>
        <w:t xml:space="preserve"> when necessary,</w:t>
      </w:r>
    </w:p>
    <w:p w14:paraId="02E7B8B4" w14:textId="77777777" w:rsidR="00A36B72" w:rsidRPr="005276CD" w:rsidRDefault="00A36B72" w:rsidP="000F1EAF">
      <w:pPr>
        <w:pStyle w:val="ListParagraph"/>
        <w:numPr>
          <w:ilvl w:val="0"/>
          <w:numId w:val="14"/>
        </w:numPr>
        <w:jc w:val="both"/>
        <w:rPr>
          <w:rFonts w:ascii="Avenir Book" w:hAnsi="Avenir Book" w:cs="Times New Roman"/>
          <w:sz w:val="22"/>
          <w:szCs w:val="22"/>
        </w:rPr>
      </w:pPr>
      <w:r w:rsidRPr="005276CD">
        <w:rPr>
          <w:rFonts w:ascii="Avenir Book" w:eastAsia="Times New Roman" w:hAnsi="Avenir Book" w:cs="Times New Roman"/>
          <w:sz w:val="22"/>
          <w:szCs w:val="22"/>
        </w:rPr>
        <w:t>Selecting materials and cleaning methods that avoid sensitizing chemicals,</w:t>
      </w:r>
    </w:p>
    <w:p w14:paraId="0EA57762" w14:textId="77777777" w:rsidR="00A36B72" w:rsidRPr="005276CD" w:rsidRDefault="00A36B72" w:rsidP="000F1EAF">
      <w:pPr>
        <w:pStyle w:val="ListParagraph"/>
        <w:numPr>
          <w:ilvl w:val="0"/>
          <w:numId w:val="14"/>
        </w:numPr>
        <w:jc w:val="both"/>
        <w:rPr>
          <w:rFonts w:ascii="Avenir Book" w:hAnsi="Avenir Book" w:cs="Times New Roman"/>
          <w:sz w:val="22"/>
          <w:szCs w:val="22"/>
        </w:rPr>
      </w:pPr>
      <w:r w:rsidRPr="005276CD">
        <w:rPr>
          <w:rFonts w:ascii="Avenir Book" w:eastAsia="Times New Roman" w:hAnsi="Avenir Book" w:cs="Times New Roman"/>
          <w:sz w:val="22"/>
          <w:szCs w:val="22"/>
        </w:rPr>
        <w:t>And recognizing that "restoration" in these cases means restoring the person's ability to safely occupy the home, not merely returning it to a standard condition.</w:t>
      </w:r>
    </w:p>
    <w:p w14:paraId="094F7065" w14:textId="77777777" w:rsidR="005276CD" w:rsidRPr="00BC63BC" w:rsidRDefault="005276CD" w:rsidP="000F1EAF">
      <w:pPr>
        <w:jc w:val="both"/>
        <w:rPr>
          <w:rFonts w:ascii="Avenir Book" w:eastAsia="Times New Roman" w:hAnsi="Avenir Book" w:cs="Times New Roman"/>
          <w:sz w:val="16"/>
          <w:szCs w:val="16"/>
        </w:rPr>
      </w:pPr>
    </w:p>
    <w:p w14:paraId="7CE1A199" w14:textId="14793769"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Budget considerations remain important, especially when insurance coverage is limited or absent. Patient-centered remediation does not necessarily mean unlimited spending—it means making well-informed trade-offs based on clinical priorities. For example, funds may be better allocated toward comprehensive particle reduction and source isolation than toward aesthetic reconstruction or unnecessary use of antimicrobials.</w:t>
      </w:r>
    </w:p>
    <w:p w14:paraId="19B5804C" w14:textId="77777777" w:rsidR="005276CD" w:rsidRPr="00BC63BC" w:rsidRDefault="005276CD" w:rsidP="000F1EAF">
      <w:pPr>
        <w:jc w:val="both"/>
        <w:rPr>
          <w:rFonts w:ascii="Avenir Book" w:eastAsia="Times New Roman" w:hAnsi="Avenir Book" w:cs="Times New Roman"/>
          <w:sz w:val="16"/>
          <w:szCs w:val="16"/>
        </w:rPr>
      </w:pPr>
    </w:p>
    <w:p w14:paraId="770167DC"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The ANSI/IICRC S520 Standard recognizes that sensitive occupants require special consideration. It references the importance of pre-existing conditions and the need to adapt work practices accordingly. In medically important projects, this extends to adjusting cleanability thresholds, increasing environmental verification, and accepting that some decisions, such as removing difficult-to-clean but reactive contents, may be guided more by patient history than by visible inspection or microbial counts alone.</w:t>
      </w:r>
    </w:p>
    <w:p w14:paraId="37D11AEB" w14:textId="77777777" w:rsidR="005276CD" w:rsidRPr="00BC63BC" w:rsidRDefault="005276CD" w:rsidP="000F1EAF">
      <w:pPr>
        <w:jc w:val="both"/>
        <w:rPr>
          <w:rFonts w:ascii="Avenir Book" w:eastAsia="Times New Roman" w:hAnsi="Avenir Book" w:cs="Times New Roman"/>
          <w:sz w:val="16"/>
          <w:szCs w:val="16"/>
        </w:rPr>
      </w:pPr>
    </w:p>
    <w:p w14:paraId="0BFA57BD" w14:textId="5F230706" w:rsidR="00A36B72" w:rsidRPr="009821E4" w:rsidRDefault="0064442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Patient-centered</w:t>
      </w:r>
      <w:r w:rsidR="00A36B72" w:rsidRPr="009821E4">
        <w:rPr>
          <w:rFonts w:ascii="Avenir Book" w:eastAsia="Times New Roman" w:hAnsi="Avenir Book" w:cs="Times New Roman"/>
          <w:sz w:val="22"/>
          <w:szCs w:val="22"/>
        </w:rPr>
        <w:t xml:space="preserve"> remediation emphasizes collaboration over convention. It challenges professionals to listen to the person affected, to understand how their health interacts with their environment, and to use the best available science to make decisions that promote recovery. In doing so, the home becomes not just a cleaned structure, but a sanctuary for healing.</w:t>
      </w:r>
    </w:p>
    <w:p w14:paraId="1E04A808" w14:textId="77777777" w:rsidR="00A36B72" w:rsidRPr="009821E4" w:rsidRDefault="00A36B72" w:rsidP="000F1EAF">
      <w:pPr>
        <w:jc w:val="both"/>
        <w:rPr>
          <w:rFonts w:ascii="Avenir Book" w:eastAsia="Times New Roman" w:hAnsi="Avenir Book" w:cs="Times New Roman"/>
          <w:sz w:val="22"/>
          <w:szCs w:val="22"/>
        </w:rPr>
      </w:pPr>
    </w:p>
    <w:p w14:paraId="33AF017D" w14:textId="77777777" w:rsidR="00A36B72" w:rsidRPr="005276CD" w:rsidRDefault="00A36B72" w:rsidP="000F1EAF">
      <w:pPr>
        <w:jc w:val="both"/>
        <w:rPr>
          <w:rFonts w:ascii="Avenir Book" w:eastAsia="Times New Roman" w:hAnsi="Avenir Book" w:cs="Times New Roman"/>
          <w:i/>
          <w:strike/>
          <w:color w:val="11639F"/>
          <w:sz w:val="28"/>
          <w:szCs w:val="32"/>
        </w:rPr>
      </w:pPr>
      <w:r w:rsidRPr="005276CD">
        <w:rPr>
          <w:rFonts w:ascii="Avenir Book" w:eastAsia="Times New Roman" w:hAnsi="Avenir Book" w:cs="Times New Roman"/>
          <w:b/>
          <w:color w:val="11639F"/>
          <w:sz w:val="28"/>
          <w:szCs w:val="32"/>
        </w:rPr>
        <w:t>Addressing Condition 2: Cleaning Beyond Visible Growth</w:t>
      </w:r>
    </w:p>
    <w:p w14:paraId="5BD8F64B"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Remediation that ends with the removal of visibly contaminated materials does not necessarily result in a health-supporting environment. While Condition 3 contamination, active microbial growth, demands immediate and obvious intervention, Condition 2 contamination often persists long after demolition is complete. Defined by the ANSI/IICRC S520 as the presence of settled spores and fragments originating from growth elsewhere, Condition 2 represents a secondary but clinically relevant form of exposure that is easily overlooked if cleaning stops at visible remediation.</w:t>
      </w:r>
    </w:p>
    <w:p w14:paraId="390E6DAB" w14:textId="77777777" w:rsidR="005276CD" w:rsidRPr="009821E4" w:rsidRDefault="005276CD" w:rsidP="000F1EAF">
      <w:pPr>
        <w:jc w:val="both"/>
        <w:rPr>
          <w:rFonts w:ascii="Avenir Book" w:eastAsia="Times New Roman" w:hAnsi="Avenir Book" w:cs="Times New Roman"/>
          <w:sz w:val="22"/>
          <w:szCs w:val="22"/>
        </w:rPr>
      </w:pPr>
    </w:p>
    <w:p w14:paraId="2D6D8BF1"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Addressing Condition 2 requires strategies that go beyond conventional construction cleanup. These particles—often too small to be seen—include fungal spores, hyphal fragments, mycotoxins, and other bioaerosol residues that deposit throughout the building. They settle on horizontal surfaces, embed in porous materials, and may be re-aerosolized during occupant activity, HVAC cycling, or airflow changes.</w:t>
      </w:r>
    </w:p>
    <w:p w14:paraId="03EB6BD4" w14:textId="77777777" w:rsidR="000F1EAF" w:rsidRPr="00A81B11" w:rsidRDefault="000F1EAF" w:rsidP="000F1EAF">
      <w:pPr>
        <w:jc w:val="both"/>
        <w:rPr>
          <w:rFonts w:ascii="Avenir Book" w:eastAsia="Times New Roman" w:hAnsi="Avenir Book" w:cs="Times New Roman"/>
          <w:sz w:val="20"/>
          <w:szCs w:val="20"/>
        </w:rPr>
      </w:pPr>
    </w:p>
    <w:p w14:paraId="5E9E5738" w14:textId="77777777"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Effective cleaning of Condition 2 environments must rely on a sequenced approach that includes:</w:t>
      </w:r>
    </w:p>
    <w:p w14:paraId="7B84E1CC" w14:textId="77777777" w:rsidR="00A36B72" w:rsidRPr="005276CD" w:rsidRDefault="00A36B72" w:rsidP="000F1EAF">
      <w:pPr>
        <w:pStyle w:val="ListParagraph"/>
        <w:numPr>
          <w:ilvl w:val="0"/>
          <w:numId w:val="15"/>
        </w:numPr>
        <w:tabs>
          <w:tab w:val="left" w:pos="-1848"/>
        </w:tabs>
        <w:jc w:val="both"/>
        <w:rPr>
          <w:rFonts w:ascii="Avenir Book" w:hAnsi="Avenir Book" w:cs="Times New Roman"/>
          <w:sz w:val="22"/>
          <w:szCs w:val="22"/>
        </w:rPr>
      </w:pPr>
      <w:r w:rsidRPr="005276CD">
        <w:rPr>
          <w:rFonts w:ascii="Avenir Book" w:eastAsia="Times New Roman" w:hAnsi="Avenir Book" w:cs="Times New Roman"/>
          <w:sz w:val="22"/>
          <w:szCs w:val="22"/>
        </w:rPr>
        <w:t>HEPA-filtered vacuuming of hard surfaces and high-dust-load areas,</w:t>
      </w:r>
    </w:p>
    <w:p w14:paraId="33D742E0" w14:textId="77777777" w:rsidR="00A36B72" w:rsidRPr="005276CD" w:rsidRDefault="00A36B72" w:rsidP="000F1EAF">
      <w:pPr>
        <w:pStyle w:val="ListParagraph"/>
        <w:numPr>
          <w:ilvl w:val="0"/>
          <w:numId w:val="15"/>
        </w:numPr>
        <w:tabs>
          <w:tab w:val="left" w:pos="-1848"/>
        </w:tabs>
        <w:jc w:val="both"/>
        <w:rPr>
          <w:rFonts w:ascii="Avenir Book" w:hAnsi="Avenir Book" w:cs="Times New Roman"/>
          <w:sz w:val="22"/>
          <w:szCs w:val="22"/>
        </w:rPr>
      </w:pPr>
      <w:r w:rsidRPr="005276CD">
        <w:rPr>
          <w:rFonts w:ascii="Avenir Book" w:eastAsia="Times New Roman" w:hAnsi="Avenir Book" w:cs="Times New Roman"/>
          <w:sz w:val="22"/>
          <w:szCs w:val="22"/>
        </w:rPr>
        <w:t>Electrostatic microfiber wiping using minimally reactive cleaning solutions (e.g., safe detergents),</w:t>
      </w:r>
    </w:p>
    <w:p w14:paraId="642D5747" w14:textId="77777777" w:rsidR="00A36B72" w:rsidRPr="005276CD" w:rsidRDefault="00A36B72" w:rsidP="000F1EAF">
      <w:pPr>
        <w:pStyle w:val="ListParagraph"/>
        <w:numPr>
          <w:ilvl w:val="0"/>
          <w:numId w:val="15"/>
        </w:numPr>
        <w:tabs>
          <w:tab w:val="left" w:pos="-1848"/>
        </w:tabs>
        <w:jc w:val="both"/>
        <w:rPr>
          <w:rFonts w:ascii="Avenir Book" w:hAnsi="Avenir Book" w:cs="Times New Roman"/>
          <w:sz w:val="22"/>
          <w:szCs w:val="22"/>
        </w:rPr>
      </w:pPr>
      <w:r w:rsidRPr="005276CD">
        <w:rPr>
          <w:rFonts w:ascii="Avenir Book" w:eastAsia="Times New Roman" w:hAnsi="Avenir Book" w:cs="Times New Roman"/>
          <w:sz w:val="22"/>
          <w:szCs w:val="22"/>
        </w:rPr>
        <w:t>Air washing and misting (when used appropriately) to mobilize fine particles toward surfaces for removal,</w:t>
      </w:r>
    </w:p>
    <w:p w14:paraId="0704BC44" w14:textId="0EC3472D" w:rsidR="00A81B11" w:rsidRPr="00A81B11" w:rsidRDefault="00A36B72" w:rsidP="000F1EAF">
      <w:pPr>
        <w:pStyle w:val="ListParagraph"/>
        <w:numPr>
          <w:ilvl w:val="0"/>
          <w:numId w:val="15"/>
        </w:numPr>
        <w:tabs>
          <w:tab w:val="left" w:pos="-1848"/>
        </w:tabs>
        <w:jc w:val="both"/>
        <w:rPr>
          <w:rFonts w:ascii="Avenir Book" w:hAnsi="Avenir Book" w:cs="Times New Roman"/>
          <w:sz w:val="22"/>
          <w:szCs w:val="22"/>
        </w:rPr>
      </w:pPr>
      <w:r w:rsidRPr="005276CD">
        <w:rPr>
          <w:rFonts w:ascii="Avenir Book" w:eastAsia="Times New Roman" w:hAnsi="Avenir Book" w:cs="Times New Roman"/>
          <w:sz w:val="22"/>
          <w:szCs w:val="22"/>
        </w:rPr>
        <w:t xml:space="preserve">And in some cases, mechanical agitation </w:t>
      </w:r>
      <w:r w:rsidR="00644422" w:rsidRPr="005276CD">
        <w:rPr>
          <w:rFonts w:ascii="Avenir Book" w:eastAsia="Times New Roman" w:hAnsi="Avenir Book" w:cs="Times New Roman"/>
          <w:sz w:val="22"/>
          <w:szCs w:val="22"/>
        </w:rPr>
        <w:t>combined.</w:t>
      </w:r>
    </w:p>
    <w:p w14:paraId="3A7A18B5" w14:textId="6B5AB14F" w:rsidR="00A36B72" w:rsidRPr="00A81B11" w:rsidRDefault="00A36B72" w:rsidP="00A81B11">
      <w:pPr>
        <w:tabs>
          <w:tab w:val="left" w:pos="-1848"/>
        </w:tabs>
        <w:jc w:val="both"/>
        <w:rPr>
          <w:rFonts w:ascii="Avenir Book" w:hAnsi="Avenir Book" w:cs="Times New Roman"/>
          <w:sz w:val="22"/>
          <w:szCs w:val="22"/>
        </w:rPr>
      </w:pPr>
      <w:r w:rsidRPr="00A81B11">
        <w:rPr>
          <w:rFonts w:ascii="Avenir Book" w:eastAsia="Times New Roman" w:hAnsi="Avenir Book" w:cs="Times New Roman"/>
          <w:sz w:val="22"/>
          <w:szCs w:val="22"/>
        </w:rPr>
        <w:t>with containment protocols to prevent redistribution.</w:t>
      </w:r>
    </w:p>
    <w:p w14:paraId="460ECE3A" w14:textId="77777777" w:rsidR="005276CD" w:rsidRDefault="005276CD" w:rsidP="000F1EAF">
      <w:pPr>
        <w:jc w:val="both"/>
        <w:rPr>
          <w:rFonts w:ascii="Avenir Book" w:eastAsia="Times New Roman" w:hAnsi="Avenir Book" w:cs="Times New Roman"/>
          <w:sz w:val="22"/>
          <w:szCs w:val="22"/>
        </w:rPr>
      </w:pPr>
    </w:p>
    <w:p w14:paraId="7912B064" w14:textId="3E55C116"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Importantly, Condition 2 cannot be reliably assessed, or confirmed</w:t>
      </w:r>
      <w:r w:rsidR="00371DFA">
        <w:rPr>
          <w:rFonts w:ascii="Avenir Book" w:eastAsia="Times New Roman" w:hAnsi="Avenir Book" w:cs="Times New Roman"/>
          <w:sz w:val="22"/>
          <w:szCs w:val="22"/>
        </w:rPr>
        <w:t>,</w:t>
      </w:r>
      <w:r w:rsidRPr="009821E4">
        <w:rPr>
          <w:rFonts w:ascii="Avenir Book" w:eastAsia="Times New Roman" w:hAnsi="Avenir Book" w:cs="Times New Roman"/>
          <w:sz w:val="22"/>
          <w:szCs w:val="22"/>
        </w:rPr>
        <w:t xml:space="preserve"> </w:t>
      </w:r>
      <w:r w:rsidR="003252E5">
        <w:rPr>
          <w:rFonts w:ascii="Avenir Book" w:eastAsia="Times New Roman" w:hAnsi="Avenir Book" w:cs="Times New Roman"/>
          <w:sz w:val="22"/>
          <w:szCs w:val="22"/>
          <w:lang w:val="en-US"/>
        </w:rPr>
        <w:t xml:space="preserve">or </w:t>
      </w:r>
      <w:r w:rsidRPr="009821E4">
        <w:rPr>
          <w:rFonts w:ascii="Avenir Book" w:eastAsia="Times New Roman" w:hAnsi="Avenir Book" w:cs="Times New Roman"/>
          <w:sz w:val="22"/>
          <w:szCs w:val="22"/>
        </w:rPr>
        <w:t xml:space="preserve">cleared through visual inspection alone. Surface sampling strategies followed by detection with methods such as </w:t>
      </w:r>
      <w:sdt>
        <w:sdtPr>
          <w:rPr>
            <w:rFonts w:ascii="Avenir Book" w:hAnsi="Avenir Book" w:cs="Times New Roman"/>
            <w:sz w:val="22"/>
            <w:szCs w:val="22"/>
          </w:rPr>
          <w:tag w:val="goog_rdk_89"/>
          <w:id w:val="-3860246"/>
        </w:sdtPr>
        <w:sdtEndPr/>
        <w:sdtContent/>
      </w:sdt>
      <w:r w:rsidR="00E25F5E">
        <w:rPr>
          <w:rFonts w:ascii="Avenir Book" w:eastAsia="Times New Roman" w:hAnsi="Avenir Book" w:cs="Times New Roman"/>
          <w:sz w:val="22"/>
          <w:szCs w:val="22"/>
        </w:rPr>
        <w:t>MSQPCR</w:t>
      </w:r>
      <w:r w:rsidRPr="009821E4">
        <w:rPr>
          <w:rFonts w:ascii="Avenir Book" w:eastAsia="Times New Roman" w:hAnsi="Avenir Book" w:cs="Times New Roman"/>
          <w:sz w:val="22"/>
          <w:szCs w:val="22"/>
        </w:rPr>
        <w:t>, protein-based detection methods (e.g., Pathways™ or ATP analogues), or particle count comparisons</w:t>
      </w:r>
      <w:r w:rsidR="00E75961">
        <w:rPr>
          <w:rFonts w:ascii="Avenir Book" w:eastAsia="Times New Roman" w:hAnsi="Avenir Book" w:cs="Times New Roman"/>
          <w:sz w:val="22"/>
          <w:szCs w:val="22"/>
          <w:lang w:val="en-US"/>
        </w:rPr>
        <w:t>,</w:t>
      </w:r>
      <w:r w:rsidRPr="009821E4">
        <w:rPr>
          <w:rFonts w:ascii="Avenir Book" w:eastAsia="Times New Roman" w:hAnsi="Avenir Book" w:cs="Times New Roman"/>
          <w:sz w:val="22"/>
          <w:szCs w:val="22"/>
        </w:rPr>
        <w:t xml:space="preserve"> pre- and post-cleaning</w:t>
      </w:r>
      <w:r w:rsidR="00E75961">
        <w:rPr>
          <w:rFonts w:ascii="Avenir Book" w:eastAsia="Times New Roman" w:hAnsi="Avenir Book" w:cs="Times New Roman"/>
          <w:sz w:val="22"/>
          <w:szCs w:val="22"/>
          <w:lang w:val="en-US"/>
        </w:rPr>
        <w:t>,</w:t>
      </w:r>
      <w:r w:rsidRPr="009821E4">
        <w:rPr>
          <w:rFonts w:ascii="Avenir Book" w:eastAsia="Times New Roman" w:hAnsi="Avenir Book" w:cs="Times New Roman"/>
          <w:sz w:val="22"/>
          <w:szCs w:val="22"/>
        </w:rPr>
        <w:t xml:space="preserve"> can help determine whether effective reduction has occurred.</w:t>
      </w:r>
    </w:p>
    <w:p w14:paraId="48EAC598" w14:textId="77777777" w:rsidR="000F1EAF" w:rsidRPr="009821E4" w:rsidRDefault="000F1EAF" w:rsidP="000F1EAF">
      <w:pPr>
        <w:jc w:val="both"/>
        <w:rPr>
          <w:rFonts w:ascii="Avenir Book" w:eastAsia="Times New Roman" w:hAnsi="Avenir Book" w:cs="Times New Roman"/>
          <w:sz w:val="22"/>
          <w:szCs w:val="22"/>
        </w:rPr>
      </w:pPr>
    </w:p>
    <w:p w14:paraId="5D05E7F5" w14:textId="77777777" w:rsidR="00A36B72"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ANSI/IICRC S520 (2015) recognizes the need to clean settled spores and fragments in areas where they may have migrated from original growth sources. It also notes that cleaning methods must be selected based on surface porosity, contamination type, and occupant vulnerability. For medically sensitive occupants, it is often necessary to clean to a health-based outcome, not a cosmetic one.</w:t>
      </w:r>
    </w:p>
    <w:p w14:paraId="50EE2CA3" w14:textId="77777777" w:rsidR="000F1EAF" w:rsidRPr="009821E4" w:rsidRDefault="000F1EAF" w:rsidP="000F1EAF">
      <w:pPr>
        <w:jc w:val="both"/>
        <w:rPr>
          <w:rFonts w:ascii="Avenir Book" w:eastAsia="Times New Roman" w:hAnsi="Avenir Book" w:cs="Times New Roman"/>
          <w:sz w:val="22"/>
          <w:szCs w:val="22"/>
        </w:rPr>
      </w:pPr>
    </w:p>
    <w:p w14:paraId="46A0971E" w14:textId="7ADD3B09" w:rsidR="00A36B72" w:rsidRPr="009821E4" w:rsidRDefault="00A36B72" w:rsidP="000F1EAF">
      <w:pPr>
        <w:jc w:val="both"/>
        <w:rPr>
          <w:rFonts w:ascii="Avenir Book" w:eastAsia="Times New Roman" w:hAnsi="Avenir Book" w:cs="Times New Roman"/>
          <w:sz w:val="22"/>
          <w:szCs w:val="22"/>
        </w:rPr>
      </w:pPr>
      <w:r w:rsidRPr="009821E4">
        <w:rPr>
          <w:rFonts w:ascii="Avenir Book" w:eastAsia="Times New Roman" w:hAnsi="Avenir Book" w:cs="Times New Roman"/>
          <w:sz w:val="22"/>
          <w:szCs w:val="22"/>
        </w:rPr>
        <w:t>The process of reducing Condition 2 contamination may also involve cleaning or replacing ductwork, furnishings, and structural components that have acted as long-term particle reservoirs. In such cases, treating the environment holistically—rather than focusing solely on "hot spots</w:t>
      </w:r>
      <w:r w:rsidR="00DC513D" w:rsidRPr="009821E4">
        <w:rPr>
          <w:rFonts w:ascii="Avenir Book" w:eastAsia="Times New Roman" w:hAnsi="Avenir Book" w:cs="Times New Roman"/>
          <w:sz w:val="22"/>
          <w:szCs w:val="22"/>
        </w:rPr>
        <w:t>"</w:t>
      </w:r>
      <w:r w:rsidR="00DC513D">
        <w:rPr>
          <w:rFonts w:ascii="Avenir Book" w:eastAsia="Times New Roman" w:hAnsi="Avenir Book" w:cs="Times New Roman"/>
          <w:sz w:val="22"/>
          <w:szCs w:val="22"/>
        </w:rPr>
        <w:t>-</w:t>
      </w:r>
      <w:r w:rsidR="00DC513D" w:rsidRPr="009821E4">
        <w:rPr>
          <w:rFonts w:ascii="Avenir Book" w:eastAsia="Times New Roman" w:hAnsi="Avenir Book" w:cs="Times New Roman"/>
          <w:sz w:val="22"/>
          <w:szCs w:val="22"/>
        </w:rPr>
        <w:t xml:space="preserve"> </w:t>
      </w:r>
      <w:r w:rsidRPr="009821E4">
        <w:rPr>
          <w:rFonts w:ascii="Avenir Book" w:eastAsia="Times New Roman" w:hAnsi="Avenir Book" w:cs="Times New Roman"/>
          <w:sz w:val="22"/>
          <w:szCs w:val="22"/>
        </w:rPr>
        <w:t>is essential for ensuring the entire system returns to Condition 1.</w:t>
      </w:r>
    </w:p>
    <w:p w14:paraId="19D23012" w14:textId="77777777" w:rsidR="00A36B72" w:rsidRPr="00A81B11" w:rsidRDefault="00A36B72" w:rsidP="000F1EAF">
      <w:pPr>
        <w:jc w:val="both"/>
        <w:rPr>
          <w:rFonts w:ascii="Avenir Book" w:eastAsia="Times New Roman" w:hAnsi="Avenir Book" w:cstheme="minorHAnsi"/>
        </w:rPr>
      </w:pPr>
    </w:p>
    <w:p w14:paraId="2F8AD1AC" w14:textId="3566C458" w:rsidR="00A36B72" w:rsidRPr="000F1EAF" w:rsidRDefault="000F1EAF" w:rsidP="000F1EAF">
      <w:pPr>
        <w:shd w:val="clear" w:color="auto" w:fill="FFFFFF"/>
        <w:jc w:val="both"/>
        <w:rPr>
          <w:rFonts w:ascii="Avenir Book" w:eastAsia="Arial" w:hAnsi="Avenir Book" w:cs="Times New Roman"/>
          <w:b/>
          <w:color w:val="11639F"/>
          <w:sz w:val="28"/>
          <w:szCs w:val="32"/>
        </w:rPr>
      </w:pPr>
      <w:r w:rsidRPr="000F1EAF">
        <w:rPr>
          <w:rFonts w:ascii="Avenir Book" w:eastAsia="Arial" w:hAnsi="Avenir Book" w:cs="Times New Roman"/>
          <w:b/>
          <w:color w:val="11639F"/>
          <w:sz w:val="28"/>
          <w:szCs w:val="32"/>
        </w:rPr>
        <w:t>Conclusions</w:t>
      </w:r>
    </w:p>
    <w:p w14:paraId="7B9A709F" w14:textId="77777777" w:rsidR="00A36B72" w:rsidRPr="009821E4" w:rsidRDefault="00A36B72" w:rsidP="000F1EAF">
      <w:pPr>
        <w:shd w:val="clear" w:color="auto" w:fill="FFFFFF"/>
        <w:jc w:val="both"/>
        <w:rPr>
          <w:rFonts w:ascii="Avenir Book" w:hAnsi="Avenir Book" w:cs="Times New Roman"/>
          <w:b/>
          <w:i/>
          <w:iCs/>
          <w:sz w:val="22"/>
          <w:szCs w:val="22"/>
        </w:rPr>
      </w:pPr>
      <w:r w:rsidRPr="009821E4">
        <w:rPr>
          <w:rFonts w:ascii="Avenir Book" w:hAnsi="Avenir Book" w:cs="Times New Roman"/>
          <w:b/>
          <w:i/>
          <w:iCs/>
          <w:sz w:val="22"/>
          <w:szCs w:val="22"/>
        </w:rPr>
        <w:t>Restorative Frameworks for Environmental Health</w:t>
      </w:r>
    </w:p>
    <w:p w14:paraId="6EDF8C5A" w14:textId="77777777" w:rsidR="00A36B72" w:rsidRPr="009821E4" w:rsidRDefault="00A36B72" w:rsidP="000F1EAF">
      <w:pPr>
        <w:jc w:val="both"/>
        <w:rPr>
          <w:rFonts w:ascii="Avenir Book" w:hAnsi="Avenir Book" w:cs="Times New Roman"/>
          <w:sz w:val="22"/>
          <w:szCs w:val="22"/>
        </w:rPr>
      </w:pPr>
      <w:r w:rsidRPr="009821E4">
        <w:rPr>
          <w:rFonts w:ascii="Avenir Book" w:hAnsi="Avenir Book" w:cs="Times New Roman"/>
          <w:sz w:val="22"/>
          <w:szCs w:val="22"/>
        </w:rPr>
        <w:t xml:space="preserve">The built environment operates as a living, interacting ecosystem—its materials, airflow, and moisture conditions forming a complex network that can either support or degrade human health. Just as the human body has interconnected systems requiring coordinated treatment, buildings contain subsystems—HVAC, plumbing, wall assemblies, pressure differentials—that must be understood as parts of a whole. </w:t>
      </w:r>
    </w:p>
    <w:p w14:paraId="2DBA7C0D" w14:textId="77777777" w:rsidR="000F1EAF" w:rsidRDefault="000F1EAF" w:rsidP="00A36B72">
      <w:pPr>
        <w:rPr>
          <w:rFonts w:ascii="Avenir Book" w:hAnsi="Avenir Book" w:cs="Times New Roman"/>
        </w:rPr>
        <w:sectPr w:rsidR="000F1EAF" w:rsidSect="000F1EAF">
          <w:type w:val="continuous"/>
          <w:pgSz w:w="11906" w:h="16838"/>
          <w:pgMar w:top="288" w:right="720" w:bottom="288" w:left="720" w:header="283" w:footer="283" w:gutter="0"/>
          <w:cols w:num="2" w:space="576"/>
          <w:docGrid w:linePitch="360"/>
        </w:sectPr>
      </w:pPr>
    </w:p>
    <w:p w14:paraId="62EBCEC0" w14:textId="77777777" w:rsidR="00810008" w:rsidRPr="00A81B11" w:rsidRDefault="00810008" w:rsidP="00A36B72">
      <w:pPr>
        <w:rPr>
          <w:rFonts w:ascii="Avenir Book" w:hAnsi="Avenir Book" w:cs="Times New Roman"/>
          <w:sz w:val="16"/>
          <w:szCs w:val="16"/>
        </w:rPr>
      </w:pP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47"/>
        <w:gridCol w:w="5609"/>
      </w:tblGrid>
      <w:tr w:rsidR="005C59CD" w:rsidRPr="009821E4" w14:paraId="11DF7D4D" w14:textId="77777777" w:rsidTr="00810008">
        <w:trPr>
          <w:trHeight w:val="144"/>
        </w:trPr>
        <w:tc>
          <w:tcPr>
            <w:tcW w:w="2318" w:type="pct"/>
          </w:tcPr>
          <w:p w14:paraId="5D54E007" w14:textId="1A117749" w:rsidR="005C59CD" w:rsidRPr="009821E4" w:rsidRDefault="009821E4" w:rsidP="00810008">
            <w:pPr>
              <w:widowControl w:val="0"/>
              <w:pBdr>
                <w:top w:val="nil"/>
                <w:left w:val="nil"/>
                <w:bottom w:val="nil"/>
                <w:right w:val="nil"/>
                <w:between w:val="nil"/>
              </w:pBdr>
              <w:rPr>
                <w:rFonts w:ascii="Avenir Book" w:hAnsi="Avenir Book"/>
                <w:b/>
                <w:sz w:val="22"/>
                <w:szCs w:val="22"/>
              </w:rPr>
            </w:pPr>
            <w:r w:rsidRPr="009821E4">
              <w:rPr>
                <w:rFonts w:ascii="Avenir Book" w:hAnsi="Avenir Book"/>
                <w:b/>
                <w:sz w:val="22"/>
                <w:szCs w:val="22"/>
              </w:rPr>
              <w:t>Human Systems</w:t>
            </w:r>
          </w:p>
        </w:tc>
        <w:tc>
          <w:tcPr>
            <w:tcW w:w="2682" w:type="pct"/>
          </w:tcPr>
          <w:p w14:paraId="1C2350CD" w14:textId="1BDFDF0D" w:rsidR="005C59CD" w:rsidRPr="009821E4" w:rsidRDefault="009821E4" w:rsidP="00810008">
            <w:pPr>
              <w:widowControl w:val="0"/>
              <w:pBdr>
                <w:top w:val="nil"/>
                <w:left w:val="nil"/>
                <w:bottom w:val="nil"/>
                <w:right w:val="nil"/>
                <w:between w:val="nil"/>
              </w:pBdr>
              <w:rPr>
                <w:rFonts w:ascii="Avenir Book" w:hAnsi="Avenir Book"/>
                <w:b/>
                <w:sz w:val="22"/>
                <w:szCs w:val="22"/>
              </w:rPr>
            </w:pPr>
            <w:r w:rsidRPr="009821E4">
              <w:rPr>
                <w:rFonts w:ascii="Avenir Book" w:hAnsi="Avenir Book"/>
                <w:b/>
                <w:sz w:val="22"/>
                <w:szCs w:val="22"/>
              </w:rPr>
              <w:t>Building Systems</w:t>
            </w:r>
          </w:p>
        </w:tc>
      </w:tr>
      <w:tr w:rsidR="005C59CD" w:rsidRPr="009821E4" w14:paraId="11072300" w14:textId="77777777" w:rsidTr="00810008">
        <w:trPr>
          <w:trHeight w:val="144"/>
        </w:trPr>
        <w:tc>
          <w:tcPr>
            <w:tcW w:w="2318" w:type="pct"/>
          </w:tcPr>
          <w:p w14:paraId="45D6A89F"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Skeletal</w:t>
            </w:r>
          </w:p>
        </w:tc>
        <w:tc>
          <w:tcPr>
            <w:tcW w:w="2682" w:type="pct"/>
          </w:tcPr>
          <w:p w14:paraId="570FB7B3" w14:textId="142EC481"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Building structure</w:t>
            </w:r>
            <w:r w:rsidR="00DC513D">
              <w:rPr>
                <w:rFonts w:ascii="Avenir Book" w:hAnsi="Avenir Book"/>
                <w:sz w:val="22"/>
                <w:szCs w:val="22"/>
              </w:rPr>
              <w:t>,</w:t>
            </w:r>
            <w:r w:rsidRPr="009821E4">
              <w:rPr>
                <w:rFonts w:ascii="Avenir Book" w:hAnsi="Avenir Book"/>
                <w:sz w:val="22"/>
                <w:szCs w:val="22"/>
              </w:rPr>
              <w:t xml:space="preserve"> layout and levels</w:t>
            </w:r>
          </w:p>
        </w:tc>
      </w:tr>
      <w:tr w:rsidR="005C59CD" w:rsidRPr="009821E4" w14:paraId="301015C2" w14:textId="77777777" w:rsidTr="00810008">
        <w:trPr>
          <w:trHeight w:val="144"/>
        </w:trPr>
        <w:tc>
          <w:tcPr>
            <w:tcW w:w="2318" w:type="pct"/>
          </w:tcPr>
          <w:p w14:paraId="59D669BA"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Skin</w:t>
            </w:r>
          </w:p>
        </w:tc>
        <w:tc>
          <w:tcPr>
            <w:tcW w:w="2682" w:type="pct"/>
          </w:tcPr>
          <w:p w14:paraId="11A2DD4A"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Exterior cladding and roofing</w:t>
            </w:r>
          </w:p>
        </w:tc>
      </w:tr>
      <w:tr w:rsidR="005C59CD" w:rsidRPr="009821E4" w14:paraId="03FB82F7" w14:textId="77777777" w:rsidTr="00810008">
        <w:trPr>
          <w:trHeight w:val="144"/>
        </w:trPr>
        <w:tc>
          <w:tcPr>
            <w:tcW w:w="2318" w:type="pct"/>
          </w:tcPr>
          <w:p w14:paraId="741F7DF4"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Cardiovascular</w:t>
            </w:r>
          </w:p>
        </w:tc>
        <w:tc>
          <w:tcPr>
            <w:tcW w:w="2682" w:type="pct"/>
          </w:tcPr>
          <w:p w14:paraId="772FE89B"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System air current distribution and supply plumbing</w:t>
            </w:r>
          </w:p>
        </w:tc>
      </w:tr>
      <w:tr w:rsidR="005C59CD" w:rsidRPr="009821E4" w14:paraId="20166B45" w14:textId="77777777" w:rsidTr="00810008">
        <w:trPr>
          <w:trHeight w:val="144"/>
        </w:trPr>
        <w:tc>
          <w:tcPr>
            <w:tcW w:w="2318" w:type="pct"/>
          </w:tcPr>
          <w:p w14:paraId="62DBEC8F"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Respiratory System</w:t>
            </w:r>
          </w:p>
        </w:tc>
        <w:tc>
          <w:tcPr>
            <w:tcW w:w="2682" w:type="pct"/>
          </w:tcPr>
          <w:p w14:paraId="2A0F17F2"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HVAC System</w:t>
            </w:r>
          </w:p>
        </w:tc>
      </w:tr>
      <w:tr w:rsidR="005C59CD" w:rsidRPr="009821E4" w14:paraId="465EFADF" w14:textId="77777777" w:rsidTr="00810008">
        <w:trPr>
          <w:trHeight w:val="144"/>
        </w:trPr>
        <w:tc>
          <w:tcPr>
            <w:tcW w:w="2318" w:type="pct"/>
          </w:tcPr>
          <w:p w14:paraId="171DED11"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Urinary System</w:t>
            </w:r>
          </w:p>
        </w:tc>
        <w:tc>
          <w:tcPr>
            <w:tcW w:w="2682" w:type="pct"/>
          </w:tcPr>
          <w:p w14:paraId="721C6516"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The drain plumbing system</w:t>
            </w:r>
          </w:p>
        </w:tc>
      </w:tr>
      <w:tr w:rsidR="005C59CD" w:rsidRPr="009821E4" w14:paraId="0DCF874B" w14:textId="77777777" w:rsidTr="00810008">
        <w:trPr>
          <w:trHeight w:val="144"/>
        </w:trPr>
        <w:tc>
          <w:tcPr>
            <w:tcW w:w="2318" w:type="pct"/>
          </w:tcPr>
          <w:p w14:paraId="44CB1CD8" w14:textId="77777777"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Digestive System</w:t>
            </w:r>
          </w:p>
        </w:tc>
        <w:tc>
          <w:tcPr>
            <w:tcW w:w="2682" w:type="pct"/>
          </w:tcPr>
          <w:p w14:paraId="3F1E7085" w14:textId="613542A2" w:rsidR="005C59CD" w:rsidRPr="009821E4" w:rsidRDefault="005C59CD" w:rsidP="00810008">
            <w:pPr>
              <w:widowControl w:val="0"/>
              <w:pBdr>
                <w:top w:val="nil"/>
                <w:left w:val="nil"/>
                <w:bottom w:val="nil"/>
                <w:right w:val="nil"/>
                <w:between w:val="nil"/>
              </w:pBdr>
              <w:rPr>
                <w:rFonts w:ascii="Avenir Book" w:hAnsi="Avenir Book"/>
                <w:sz w:val="22"/>
                <w:szCs w:val="22"/>
              </w:rPr>
            </w:pPr>
            <w:r w:rsidRPr="009821E4">
              <w:rPr>
                <w:rFonts w:ascii="Avenir Book" w:hAnsi="Avenir Book"/>
                <w:sz w:val="22"/>
                <w:szCs w:val="22"/>
              </w:rPr>
              <w:t xml:space="preserve">Building materials </w:t>
            </w:r>
            <w:r w:rsidR="00DC513D" w:rsidRPr="009821E4">
              <w:rPr>
                <w:rFonts w:ascii="Avenir Book" w:hAnsi="Avenir Book"/>
                <w:sz w:val="22"/>
                <w:szCs w:val="22"/>
              </w:rPr>
              <w:t>degrad</w:t>
            </w:r>
            <w:r w:rsidR="00DC513D">
              <w:rPr>
                <w:rFonts w:ascii="Avenir Book" w:hAnsi="Avenir Book"/>
                <w:sz w:val="22"/>
                <w:szCs w:val="22"/>
              </w:rPr>
              <w:t>e</w:t>
            </w:r>
            <w:r w:rsidR="00DC513D" w:rsidRPr="009821E4">
              <w:rPr>
                <w:rFonts w:ascii="Avenir Book" w:hAnsi="Avenir Book"/>
                <w:sz w:val="22"/>
                <w:szCs w:val="22"/>
              </w:rPr>
              <w:t xml:space="preserve"> </w:t>
            </w:r>
            <w:r w:rsidRPr="009821E4">
              <w:rPr>
                <w:rFonts w:ascii="Avenir Book" w:hAnsi="Avenir Book"/>
                <w:sz w:val="22"/>
                <w:szCs w:val="22"/>
              </w:rPr>
              <w:t>via moisture and microbes</w:t>
            </w:r>
          </w:p>
        </w:tc>
      </w:tr>
    </w:tbl>
    <w:p w14:paraId="2D16C373" w14:textId="77777777" w:rsidR="005C59CD" w:rsidRPr="00A81B11" w:rsidRDefault="005C59CD" w:rsidP="005C59CD">
      <w:pPr>
        <w:jc w:val="both"/>
        <w:rPr>
          <w:rFonts w:ascii="Avenir Book" w:hAnsi="Avenir Book" w:cs="Times New Roman"/>
          <w:sz w:val="16"/>
          <w:szCs w:val="16"/>
        </w:rPr>
      </w:pPr>
    </w:p>
    <w:p w14:paraId="016D708D" w14:textId="77777777" w:rsidR="005467EB" w:rsidRPr="00A81B11" w:rsidRDefault="005467EB" w:rsidP="005C59CD">
      <w:pPr>
        <w:jc w:val="both"/>
        <w:rPr>
          <w:rFonts w:ascii="Avenir Book" w:hAnsi="Avenir Book" w:cs="Times New Roman"/>
          <w:sz w:val="16"/>
          <w:szCs w:val="16"/>
        </w:rPr>
        <w:sectPr w:rsidR="005467EB" w:rsidRPr="00A81B11" w:rsidSect="00E55AA9">
          <w:type w:val="continuous"/>
          <w:pgSz w:w="11906" w:h="16838"/>
          <w:pgMar w:top="288" w:right="720" w:bottom="288" w:left="720" w:header="283" w:footer="283" w:gutter="0"/>
          <w:cols w:space="576"/>
          <w:docGrid w:linePitch="360"/>
        </w:sectPr>
      </w:pPr>
    </w:p>
    <w:p w14:paraId="2A9066DC" w14:textId="1D99B739" w:rsidR="00A36B72" w:rsidRDefault="00A36B72" w:rsidP="005C59CD">
      <w:pPr>
        <w:jc w:val="both"/>
        <w:rPr>
          <w:rFonts w:ascii="Avenir Book" w:hAnsi="Avenir Book" w:cs="Times New Roman"/>
          <w:sz w:val="22"/>
          <w:szCs w:val="22"/>
        </w:rPr>
      </w:pPr>
      <w:r w:rsidRPr="009821E4">
        <w:rPr>
          <w:rFonts w:ascii="Avenir Book" w:hAnsi="Avenir Book" w:cs="Times New Roman"/>
          <w:sz w:val="22"/>
          <w:szCs w:val="22"/>
        </w:rPr>
        <w:t>Like a skilled physician evaluating organ systems, a trained indoor environmental Professional (IEP) must assess both the symptoms and the root causes, employing a sequence of diagnostic tools and methods that match the complexity of the structure.</w:t>
      </w:r>
    </w:p>
    <w:p w14:paraId="6FAA745F" w14:textId="77777777" w:rsidR="00A81B11" w:rsidRPr="00A81B11" w:rsidRDefault="00A81B11" w:rsidP="005C59CD">
      <w:pPr>
        <w:jc w:val="both"/>
        <w:rPr>
          <w:rFonts w:ascii="Avenir Book" w:hAnsi="Avenir Book" w:cs="Times New Roman"/>
          <w:sz w:val="16"/>
          <w:szCs w:val="16"/>
        </w:rPr>
      </w:pPr>
    </w:p>
    <w:p w14:paraId="08C39A9F" w14:textId="77777777" w:rsidR="00FD5A4E" w:rsidRPr="009821E4" w:rsidRDefault="00A36B72" w:rsidP="005C59CD">
      <w:pPr>
        <w:jc w:val="both"/>
        <w:rPr>
          <w:rFonts w:ascii="Avenir Book" w:hAnsi="Avenir Book" w:cs="Times New Roman"/>
          <w:sz w:val="22"/>
          <w:szCs w:val="22"/>
        </w:rPr>
      </w:pPr>
      <w:r w:rsidRPr="009821E4">
        <w:rPr>
          <w:rFonts w:ascii="Avenir Book" w:hAnsi="Avenir Book" w:cs="Times New Roman"/>
          <w:sz w:val="22"/>
          <w:szCs w:val="22"/>
        </w:rPr>
        <w:t>Assessment, therefore, is not simply about identifying visible mold or damage. It requires a deeper investigation into subvisible residues, pressure-driven airflow, and occupant symptom patterns to locate and address contaminant reservoirs. The goal is not perfection—no home can or should become a sterile "clean room"—but rather to reduce exposure below the individual's threshold of sensitivity and to ensure those levels remain stable. This is the essence of environmental restoration: identifying, removing, and preventing the conditions that allow contamination to persist or recur. With the proper guidance, homes can become health-supporting environments again, even for those with chronic sensitivity</w:t>
      </w:r>
      <w:r w:rsidR="00FD5A4E" w:rsidRPr="009821E4">
        <w:rPr>
          <w:rFonts w:ascii="Avenir Book" w:hAnsi="Avenir Book" w:cs="Times New Roman"/>
          <w:sz w:val="22"/>
          <w:szCs w:val="22"/>
        </w:rPr>
        <w:t>.</w:t>
      </w:r>
    </w:p>
    <w:p w14:paraId="152659C4" w14:textId="77777777" w:rsidR="00FD5A4E" w:rsidRPr="009821E4" w:rsidRDefault="00FD5A4E" w:rsidP="005C59CD">
      <w:pPr>
        <w:jc w:val="both"/>
        <w:rPr>
          <w:rFonts w:ascii="Avenir Book" w:hAnsi="Avenir Book" w:cs="Times New Roman"/>
          <w:sz w:val="22"/>
          <w:szCs w:val="22"/>
        </w:rPr>
      </w:pPr>
    </w:p>
    <w:p w14:paraId="74F09DDE" w14:textId="7B4E6055" w:rsidR="00A36B72" w:rsidRPr="009821E4" w:rsidRDefault="00A36B72" w:rsidP="005C59CD">
      <w:pPr>
        <w:jc w:val="both"/>
        <w:rPr>
          <w:rFonts w:ascii="Avenir Book" w:hAnsi="Avenir Book" w:cs="Times New Roman"/>
          <w:b/>
          <w:color w:val="11639F"/>
          <w:sz w:val="28"/>
          <w:szCs w:val="32"/>
        </w:rPr>
      </w:pPr>
      <w:r w:rsidRPr="009821E4">
        <w:rPr>
          <w:rFonts w:ascii="Avenir Book" w:hAnsi="Avenir Book" w:cs="Times New Roman"/>
          <w:b/>
          <w:color w:val="11639F"/>
          <w:sz w:val="28"/>
          <w:szCs w:val="32"/>
        </w:rPr>
        <w:t>Bridging Clinical and Environmental Disciplines</w:t>
      </w:r>
    </w:p>
    <w:p w14:paraId="4DE54E13" w14:textId="129D3B59" w:rsidR="00A36B72" w:rsidRDefault="00A36B72" w:rsidP="005C59CD">
      <w:pPr>
        <w:jc w:val="both"/>
        <w:rPr>
          <w:rFonts w:ascii="Avenir Book" w:hAnsi="Avenir Book" w:cs="Times New Roman"/>
          <w:sz w:val="22"/>
          <w:szCs w:val="22"/>
        </w:rPr>
      </w:pPr>
      <w:r w:rsidRPr="009821E4">
        <w:rPr>
          <w:rFonts w:ascii="Avenir Book" w:hAnsi="Avenir Book" w:cs="Times New Roman"/>
          <w:sz w:val="22"/>
          <w:szCs w:val="22"/>
        </w:rPr>
        <w:t xml:space="preserve">Healing requires more than medicine alone. The air and surfaces in any indoor environment host contaminant loads that fluctuate with </w:t>
      </w:r>
      <w:r w:rsidR="007D4DB8">
        <w:rPr>
          <w:rFonts w:ascii="Avenir Book" w:hAnsi="Avenir Book" w:cs="Times New Roman"/>
          <w:sz w:val="22"/>
          <w:szCs w:val="22"/>
        </w:rPr>
        <w:t xml:space="preserve">the </w:t>
      </w:r>
      <w:r w:rsidRPr="009821E4">
        <w:rPr>
          <w:rFonts w:ascii="Avenir Book" w:hAnsi="Avenir Book" w:cs="Times New Roman"/>
          <w:sz w:val="22"/>
          <w:szCs w:val="22"/>
        </w:rPr>
        <w:t xml:space="preserve">presence of sources, the seasons, wind patterns, HVAC dynamics, and even occupancy. The result may be a continued exposure above the reaction thresholds for susceptible occupants. Therefore, proper remediation and </w:t>
      </w:r>
      <w:r w:rsidR="00644422" w:rsidRPr="009821E4">
        <w:rPr>
          <w:rFonts w:ascii="Avenir Book" w:hAnsi="Avenir Book" w:cs="Times New Roman"/>
          <w:sz w:val="22"/>
          <w:szCs w:val="22"/>
        </w:rPr>
        <w:t>environmental cleaning</w:t>
      </w:r>
      <w:r w:rsidRPr="009821E4">
        <w:rPr>
          <w:rFonts w:ascii="Avenir Book" w:hAnsi="Avenir Book" w:cs="Times New Roman"/>
          <w:sz w:val="22"/>
          <w:szCs w:val="22"/>
        </w:rPr>
        <w:t xml:space="preserve"> (healing) of the</w:t>
      </w:r>
      <w:r w:rsidRPr="005C59CD">
        <w:rPr>
          <w:rFonts w:ascii="Avenir Book" w:hAnsi="Avenir Book" w:cs="Times New Roman"/>
          <w:sz w:val="22"/>
          <w:szCs w:val="22"/>
        </w:rPr>
        <w:t xml:space="preserve"> building is also required. If the rate of entry exceeds the rate of detoxification or removal by the clinician, the patient may continue to experience symptoms. </w:t>
      </w:r>
    </w:p>
    <w:p w14:paraId="12CCE136" w14:textId="77777777" w:rsidR="00FD5A4E" w:rsidRPr="005C59CD" w:rsidRDefault="00FD5A4E" w:rsidP="005C59CD">
      <w:pPr>
        <w:jc w:val="both"/>
        <w:rPr>
          <w:rFonts w:ascii="Avenir Book" w:hAnsi="Avenir Book" w:cs="Times New Roman"/>
          <w:sz w:val="22"/>
          <w:szCs w:val="22"/>
        </w:rPr>
      </w:pPr>
    </w:p>
    <w:p w14:paraId="70F115A0" w14:textId="77777777"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 xml:space="preserve">Thus, optimal outcomes demand synchronized efforts between the environmental professional and the treating physician. The IEP must be aware of the clinical context—including symptom triggers, health sensitivities, and recovery timelines—while the clinician must understand the evolving conditions of the patient's environment. </w:t>
      </w:r>
      <w:r w:rsidRPr="005C59CD">
        <w:rPr>
          <w:rFonts w:ascii="Avenir Book" w:hAnsi="Avenir Book" w:cs="Times New Roman"/>
          <w:sz w:val="22"/>
          <w:szCs w:val="22"/>
        </w:rPr>
        <w:lastRenderedPageBreak/>
        <w:t>Continuous, informed communication ensures that treatment of the person and treatment of the home evolve in harmony.</w:t>
      </w:r>
    </w:p>
    <w:p w14:paraId="119C863F" w14:textId="77777777" w:rsidR="009821E4" w:rsidRPr="005C59CD" w:rsidRDefault="009821E4" w:rsidP="005C59CD">
      <w:pPr>
        <w:jc w:val="both"/>
        <w:rPr>
          <w:rFonts w:ascii="Avenir Book" w:hAnsi="Avenir Book" w:cs="Times New Roman"/>
          <w:sz w:val="22"/>
          <w:szCs w:val="22"/>
        </w:rPr>
      </w:pPr>
    </w:p>
    <w:p w14:paraId="6BD79C73" w14:textId="0B69074D" w:rsidR="00A36B72" w:rsidRPr="005C59CD" w:rsidRDefault="00A36B72" w:rsidP="005C59CD">
      <w:pPr>
        <w:jc w:val="both"/>
        <w:rPr>
          <w:rFonts w:ascii="Avenir Book" w:hAnsi="Avenir Book" w:cs="Times New Roman"/>
          <w:sz w:val="22"/>
          <w:szCs w:val="22"/>
        </w:rPr>
      </w:pPr>
      <w:r w:rsidRPr="005C59CD">
        <w:rPr>
          <w:rFonts w:ascii="Avenir Book" w:hAnsi="Avenir Book" w:cs="Times New Roman"/>
          <w:sz w:val="22"/>
          <w:szCs w:val="22"/>
        </w:rPr>
        <w:t xml:space="preserve">Both parties must also avoid overstepping their bounds. Too often, clinicians recommend environmental tests without sufficient knowledge of sampling limitations or interpretation, leading to costly retesting or misguided conclusions. Conversely, IEPs must avoid clinical assumptions outside their expertise. Each discipline must know enough of the other's science to collaborate </w:t>
      </w:r>
      <w:r w:rsidR="00644422" w:rsidRPr="005C59CD">
        <w:rPr>
          <w:rFonts w:ascii="Avenir Book" w:hAnsi="Avenir Book" w:cs="Times New Roman"/>
          <w:sz w:val="22"/>
          <w:szCs w:val="22"/>
        </w:rPr>
        <w:t>meaningfully but</w:t>
      </w:r>
      <w:r w:rsidRPr="005C59CD">
        <w:rPr>
          <w:rFonts w:ascii="Avenir Book" w:hAnsi="Avenir Book" w:cs="Times New Roman"/>
          <w:sz w:val="22"/>
          <w:szCs w:val="22"/>
        </w:rPr>
        <w:t xml:space="preserve"> defer to the other's domain. As one author aptly put it, "The clinician and the IEP are like two sides of the same coin."</w:t>
      </w:r>
    </w:p>
    <w:p w14:paraId="4999D566" w14:textId="77777777" w:rsidR="00A36B72" w:rsidRPr="005C59CD" w:rsidRDefault="00A36B72" w:rsidP="005C59CD">
      <w:pPr>
        <w:jc w:val="both"/>
        <w:rPr>
          <w:rFonts w:ascii="Avenir Book" w:hAnsi="Avenir Book" w:cs="Times New Roman"/>
          <w:sz w:val="22"/>
          <w:szCs w:val="22"/>
        </w:rPr>
      </w:pPr>
    </w:p>
    <w:p w14:paraId="2D9C7A01" w14:textId="77777777" w:rsidR="00A36B72" w:rsidRPr="00FD5A4E" w:rsidRDefault="00A36B72" w:rsidP="005C59CD">
      <w:pPr>
        <w:jc w:val="both"/>
        <w:rPr>
          <w:rFonts w:ascii="Avenir Book" w:hAnsi="Avenir Book" w:cs="Times New Roman"/>
          <w:b/>
          <w:color w:val="11639F"/>
          <w:sz w:val="28"/>
          <w:szCs w:val="32"/>
        </w:rPr>
      </w:pPr>
      <w:r w:rsidRPr="00FD5A4E">
        <w:rPr>
          <w:rFonts w:ascii="Avenir Book" w:hAnsi="Avenir Book" w:cs="Times New Roman"/>
          <w:b/>
          <w:color w:val="11639F"/>
          <w:sz w:val="28"/>
          <w:szCs w:val="32"/>
        </w:rPr>
        <w:t>Challenges to Mainstream Acceptance</w:t>
      </w:r>
    </w:p>
    <w:p w14:paraId="67014AEF" w14:textId="77777777"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Despite growing clinical recognition, several barriers continue to hinder broader acceptance of environmental restoration as a legitimate health intervention.</w:t>
      </w:r>
    </w:p>
    <w:p w14:paraId="216423E5" w14:textId="77777777" w:rsidR="00FD5A4E" w:rsidRPr="005C59CD" w:rsidRDefault="00FD5A4E" w:rsidP="005C59CD">
      <w:pPr>
        <w:jc w:val="both"/>
        <w:rPr>
          <w:rFonts w:ascii="Avenir Book" w:hAnsi="Avenir Book" w:cs="Times New Roman"/>
          <w:sz w:val="22"/>
          <w:szCs w:val="22"/>
        </w:rPr>
      </w:pPr>
    </w:p>
    <w:p w14:paraId="37A4931C" w14:textId="77777777"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Skepticism remains widespread—largely because many people have coexisted with some level of visible mold or dampness without acute symptoms. With only an estimated 5–10% of the general population experiencing allergic or inflammatory reactions, most individuals view mold exposure as benign. Yet the science now tells us otherwise: at least 24% of people have a genetic susceptibility to environmentally triggered inflammation. These individuals may suffer severe, life-altering symptoms without ever connecting them to their environment.</w:t>
      </w:r>
    </w:p>
    <w:p w14:paraId="395A7482" w14:textId="77777777" w:rsidR="00FD5A4E" w:rsidRPr="005C59CD" w:rsidRDefault="00FD5A4E" w:rsidP="005C59CD">
      <w:pPr>
        <w:jc w:val="both"/>
        <w:rPr>
          <w:rFonts w:ascii="Avenir Book" w:hAnsi="Avenir Book" w:cs="Times New Roman"/>
          <w:sz w:val="22"/>
          <w:szCs w:val="22"/>
        </w:rPr>
      </w:pPr>
    </w:p>
    <w:p w14:paraId="3FAC5C4F" w14:textId="464CA2C4"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 xml:space="preserve">Regulatory gaps further complicate the issue. </w:t>
      </w:r>
      <w:sdt>
        <w:sdtPr>
          <w:rPr>
            <w:rFonts w:ascii="Avenir Book" w:hAnsi="Avenir Book" w:cs="Times New Roman"/>
            <w:sz w:val="22"/>
            <w:szCs w:val="22"/>
          </w:rPr>
          <w:tag w:val="goog_rdk_91"/>
          <w:id w:val="348784352"/>
        </w:sdtPr>
        <w:sdtEndPr/>
        <w:sdtContent/>
      </w:sdt>
      <w:r w:rsidRPr="005C59CD">
        <w:rPr>
          <w:rFonts w:ascii="Avenir Book" w:hAnsi="Avenir Book" w:cs="Times New Roman"/>
          <w:sz w:val="22"/>
          <w:szCs w:val="22"/>
        </w:rPr>
        <w:t>There are few federal or state mandates for mold in public buildings</w:t>
      </w:r>
      <w:r w:rsidRPr="005C59CD">
        <w:rPr>
          <w:rFonts w:ascii="Avenir Book" w:hAnsi="Avenir Book" w:cs="Times New Roman"/>
          <w:sz w:val="22"/>
          <w:szCs w:val="22"/>
          <w:vertAlign w:val="superscript"/>
        </w:rPr>
        <w:t>150</w:t>
      </w:r>
      <w:r w:rsidRPr="005C59CD">
        <w:rPr>
          <w:rFonts w:ascii="Avenir Book" w:hAnsi="Avenir Book" w:cs="Times New Roman"/>
          <w:sz w:val="22"/>
          <w:szCs w:val="22"/>
        </w:rPr>
        <w:t xml:space="preserve">, and airborne contaminant levels can change due to season, weather, or ventilation. Testing methods remain inconsistent, and even certified professionals may have widely different approaches. The presence of </w:t>
      </w:r>
      <w:r w:rsidR="00644422" w:rsidRPr="005C59CD">
        <w:rPr>
          <w:rFonts w:ascii="Avenir Book" w:hAnsi="Avenir Book" w:cs="Times New Roman"/>
          <w:sz w:val="22"/>
          <w:szCs w:val="22"/>
        </w:rPr>
        <w:t>unreliable</w:t>
      </w:r>
      <w:r w:rsidRPr="005C59CD">
        <w:rPr>
          <w:rFonts w:ascii="Avenir Book" w:hAnsi="Avenir Book" w:cs="Times New Roman"/>
          <w:sz w:val="22"/>
          <w:szCs w:val="22"/>
        </w:rPr>
        <w:t xml:space="preserve"> certifying bodies offering minimal qualifications only adds confusion. Encouragingly, movements are underway—some led by nonprofit organizations—to standardize healthy indoor air guidelines and promote legislation, particularly in schools, government offices, and military housing, where Congressional hearings are beginning to address the public health risks involved.</w:t>
      </w:r>
    </w:p>
    <w:p w14:paraId="59B6365B" w14:textId="77777777" w:rsidR="00FD5A4E" w:rsidRPr="005C59CD" w:rsidRDefault="00FD5A4E" w:rsidP="005C59CD">
      <w:pPr>
        <w:jc w:val="both"/>
        <w:rPr>
          <w:rFonts w:ascii="Avenir Book" w:hAnsi="Avenir Book" w:cs="Times New Roman"/>
          <w:sz w:val="22"/>
          <w:szCs w:val="22"/>
        </w:rPr>
      </w:pPr>
    </w:p>
    <w:p w14:paraId="525E12F2" w14:textId="77777777" w:rsidR="00A36B72" w:rsidRPr="005C59CD" w:rsidRDefault="00A36B72" w:rsidP="005C59CD">
      <w:pPr>
        <w:jc w:val="both"/>
        <w:rPr>
          <w:rFonts w:ascii="Avenir Book" w:hAnsi="Avenir Book" w:cs="Times New Roman"/>
          <w:sz w:val="22"/>
          <w:szCs w:val="22"/>
        </w:rPr>
      </w:pPr>
      <w:r w:rsidRPr="005C59CD">
        <w:rPr>
          <w:rFonts w:ascii="Avenir Book" w:hAnsi="Avenir Book" w:cs="Times New Roman"/>
          <w:sz w:val="22"/>
          <w:szCs w:val="22"/>
        </w:rPr>
        <w:t xml:space="preserve">Insurance friction adds a final layer of resistance. Most homeowner policies cover </w:t>
      </w:r>
      <w:r w:rsidRPr="005C59CD">
        <w:rPr>
          <w:rFonts w:ascii="Avenir Book" w:hAnsi="Avenir Book" w:cs="Times New Roman"/>
          <w:color w:val="000000" w:themeColor="text1"/>
          <w:sz w:val="22"/>
          <w:szCs w:val="22"/>
        </w:rPr>
        <w:t xml:space="preserve">sudden and </w:t>
      </w:r>
      <w:r w:rsidRPr="005C59CD">
        <w:rPr>
          <w:rFonts w:ascii="Avenir Book" w:hAnsi="Avenir Book" w:cs="Times New Roman"/>
          <w:sz w:val="22"/>
          <w:szCs w:val="22"/>
        </w:rPr>
        <w:t xml:space="preserve">accidental water </w:t>
      </w:r>
      <w:r w:rsidRPr="005C59CD">
        <w:rPr>
          <w:rFonts w:ascii="Avenir Book" w:hAnsi="Avenir Book" w:cs="Times New Roman"/>
          <w:sz w:val="22"/>
          <w:szCs w:val="22"/>
        </w:rPr>
        <w:t>damage (e.g., the damage caused by pipe breaks) but exclude microbial growth, structural defects, or long-term wear. While some policies offer limited mold riders, coverage is often inadequate. IEPs frequently serve as intermediaries, delineating between covered water events and uncovered microbial contamination to help adjusters make fair determinations. In some cases, trusted relationships between IEPs and adjusters can lead to more favorable outcomes for the client.</w:t>
      </w:r>
    </w:p>
    <w:p w14:paraId="7E09BC5B" w14:textId="77777777" w:rsidR="00A36B72" w:rsidRPr="005C59CD" w:rsidRDefault="00A36B72" w:rsidP="005C59CD">
      <w:pPr>
        <w:jc w:val="both"/>
        <w:rPr>
          <w:rFonts w:ascii="Avenir Book" w:hAnsi="Avenir Book" w:cs="Times New Roman"/>
          <w:sz w:val="22"/>
          <w:szCs w:val="22"/>
        </w:rPr>
      </w:pPr>
    </w:p>
    <w:p w14:paraId="568BE538" w14:textId="77777777" w:rsidR="00A36B72" w:rsidRPr="005467EB" w:rsidRDefault="00A36B72" w:rsidP="005C59CD">
      <w:pPr>
        <w:jc w:val="both"/>
        <w:rPr>
          <w:rFonts w:ascii="Avenir Book" w:hAnsi="Avenir Book" w:cs="Times New Roman"/>
          <w:b/>
          <w:color w:val="11639F"/>
          <w:sz w:val="28"/>
          <w:szCs w:val="32"/>
        </w:rPr>
      </w:pPr>
      <w:r w:rsidRPr="005467EB">
        <w:rPr>
          <w:rFonts w:ascii="Avenir Book" w:hAnsi="Avenir Book" w:cs="Times New Roman"/>
          <w:b/>
          <w:color w:val="11639F"/>
          <w:sz w:val="28"/>
          <w:szCs w:val="32"/>
        </w:rPr>
        <w:t>The Hopeful Model: A Treatable System, A Recoverable Patient</w:t>
      </w:r>
    </w:p>
    <w:p w14:paraId="4FE5806A" w14:textId="43AAEB50"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What emerges from all of this is a hopeful, actionable model—one in which the building is seen as a treatable system and the patient as a recoverable individual. No environment is completely free of microbial or chemical exposures, nor should it be. A healthy immune system requires some degree of challenge. The goal is not sterility, but balance: to reduce environmental stressors below the patient's threshold and to keep those levels stable over time.</w:t>
      </w:r>
    </w:p>
    <w:p w14:paraId="3C127C75" w14:textId="77777777" w:rsidR="00A81B11" w:rsidRPr="005C59CD" w:rsidRDefault="00A81B11" w:rsidP="005C59CD">
      <w:pPr>
        <w:jc w:val="both"/>
        <w:rPr>
          <w:rFonts w:ascii="Avenir Book" w:hAnsi="Avenir Book" w:cs="Times New Roman"/>
          <w:sz w:val="22"/>
          <w:szCs w:val="22"/>
        </w:rPr>
      </w:pPr>
    </w:p>
    <w:p w14:paraId="327C5201" w14:textId="77777777"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This is where the expertise of the IEP becomes essential—not just for assessment and diagnosis, but also for interpreting contractor proposals, sequencing remediation efforts, and advising on cost-effective strategies. There must be no conflicts of interest: those who assess the environment should not be the ones remediating it. With proper boundaries and experience, successful outcomes are the norm—not the exception.</w:t>
      </w:r>
    </w:p>
    <w:p w14:paraId="239CCB47" w14:textId="77777777" w:rsidR="005467EB" w:rsidRPr="005C59CD" w:rsidRDefault="005467EB" w:rsidP="005C59CD">
      <w:pPr>
        <w:jc w:val="both"/>
        <w:rPr>
          <w:rFonts w:ascii="Avenir Book" w:hAnsi="Avenir Book" w:cs="Times New Roman"/>
          <w:sz w:val="22"/>
          <w:szCs w:val="22"/>
        </w:rPr>
      </w:pPr>
    </w:p>
    <w:p w14:paraId="6662AEA0" w14:textId="77777777" w:rsidR="00A36B72" w:rsidRDefault="00A36B72" w:rsidP="005C59CD">
      <w:pPr>
        <w:jc w:val="both"/>
        <w:rPr>
          <w:rFonts w:ascii="Avenir Book" w:hAnsi="Avenir Book" w:cs="Times New Roman"/>
          <w:sz w:val="22"/>
          <w:szCs w:val="22"/>
        </w:rPr>
      </w:pPr>
      <w:r w:rsidRPr="005C59CD">
        <w:rPr>
          <w:rFonts w:ascii="Avenir Book" w:hAnsi="Avenir Book" w:cs="Times New Roman"/>
          <w:sz w:val="22"/>
          <w:szCs w:val="22"/>
        </w:rPr>
        <w:t>Each patient will have a unique recovery path. Some may experience rapid improvement once environmental exposures are reduced. Others may show improvement in lab values (e.g., VCS test scores) before their symptoms resolve. Additional medical issues, detoxification bottlenecks, or stress can all delay recovery, making close coordination between clinician, IEP, and patient essential. Periodic re-testing, maintenance inspections, and appropriate interventions such as air purification or improved ventilation can help keep the space stable and healing ongoing.</w:t>
      </w:r>
    </w:p>
    <w:p w14:paraId="4FE9E691" w14:textId="77777777" w:rsidR="005467EB" w:rsidRPr="005C59CD" w:rsidRDefault="005467EB" w:rsidP="005C59CD">
      <w:pPr>
        <w:jc w:val="both"/>
        <w:rPr>
          <w:rFonts w:ascii="Avenir Book" w:hAnsi="Avenir Book" w:cs="Times New Roman"/>
          <w:sz w:val="22"/>
          <w:szCs w:val="22"/>
        </w:rPr>
      </w:pPr>
    </w:p>
    <w:p w14:paraId="72D22E27" w14:textId="77777777" w:rsidR="00A36B72" w:rsidRPr="005C59CD" w:rsidRDefault="00A36B72" w:rsidP="005C59CD">
      <w:pPr>
        <w:jc w:val="both"/>
        <w:rPr>
          <w:rFonts w:ascii="Avenir Book" w:hAnsi="Avenir Book" w:cs="Times New Roman"/>
          <w:sz w:val="22"/>
          <w:szCs w:val="22"/>
        </w:rPr>
      </w:pPr>
      <w:r w:rsidRPr="005C59CD">
        <w:rPr>
          <w:rFonts w:ascii="Avenir Book" w:hAnsi="Avenir Book" w:cs="Times New Roman"/>
          <w:sz w:val="22"/>
          <w:szCs w:val="22"/>
        </w:rPr>
        <w:t>Ultimately, the path to wellness is rarely linear—but it is achievable. With commitment, collaboration, and careful attention to both the body and the building, healing becomes not only possible, but probable.</w:t>
      </w:r>
    </w:p>
    <w:p w14:paraId="5E838599" w14:textId="77777777" w:rsidR="005467EB" w:rsidRDefault="005467EB" w:rsidP="005C59CD">
      <w:pPr>
        <w:jc w:val="both"/>
        <w:rPr>
          <w:rFonts w:ascii="Avenir Book" w:hAnsi="Avenir Book" w:cs="Times New Roman"/>
          <w:sz w:val="22"/>
          <w:szCs w:val="22"/>
        </w:rPr>
        <w:sectPr w:rsidR="005467EB" w:rsidSect="005467EB">
          <w:type w:val="continuous"/>
          <w:pgSz w:w="11906" w:h="16838"/>
          <w:pgMar w:top="288" w:right="720" w:bottom="288" w:left="720" w:header="283" w:footer="283" w:gutter="0"/>
          <w:cols w:num="2" w:space="576"/>
          <w:docGrid w:linePitch="360"/>
        </w:sectPr>
      </w:pPr>
    </w:p>
    <w:p w14:paraId="04417BF1" w14:textId="77777777" w:rsidR="00A36B72" w:rsidRPr="005C59CD" w:rsidRDefault="00A36B72" w:rsidP="005C59CD">
      <w:pPr>
        <w:jc w:val="both"/>
        <w:rPr>
          <w:rFonts w:ascii="Avenir Book" w:hAnsi="Avenir Book" w:cs="Times New Roman"/>
          <w:sz w:val="22"/>
          <w:szCs w:val="22"/>
        </w:rPr>
      </w:pPr>
    </w:p>
    <w:p w14:paraId="5F3C8412" w14:textId="28D78E19" w:rsidR="00FD5A4E" w:rsidRDefault="00FD5A4E">
      <w:pPr>
        <w:rPr>
          <w:rFonts w:ascii="Avenir Book" w:hAnsi="Avenir Book" w:cs="Times New Roman"/>
          <w:sz w:val="22"/>
          <w:szCs w:val="22"/>
        </w:rPr>
      </w:pPr>
      <w:r>
        <w:rPr>
          <w:rFonts w:ascii="Avenir Book" w:hAnsi="Avenir Book" w:cs="Times New Roman"/>
          <w:sz w:val="22"/>
          <w:szCs w:val="22"/>
        </w:rPr>
        <w:br w:type="page"/>
      </w:r>
    </w:p>
    <w:p w14:paraId="2FA3973C" w14:textId="63D55472" w:rsidR="00A36B72" w:rsidRPr="005467EB" w:rsidRDefault="00980956" w:rsidP="005C59CD">
      <w:pPr>
        <w:jc w:val="both"/>
        <w:rPr>
          <w:rFonts w:ascii="Avenir Book" w:hAnsi="Avenir Book" w:cs="Times New Roman"/>
          <w:b/>
          <w:bCs/>
          <w:color w:val="11639F"/>
          <w:sz w:val="28"/>
          <w:szCs w:val="32"/>
        </w:rPr>
      </w:pPr>
      <w:r w:rsidRPr="005467EB">
        <w:rPr>
          <w:rFonts w:ascii="Avenir Book" w:hAnsi="Avenir Book" w:cs="Times New Roman"/>
          <w:b/>
          <w:bCs/>
          <w:color w:val="11639F"/>
          <w:sz w:val="28"/>
          <w:szCs w:val="32"/>
        </w:rPr>
        <w:lastRenderedPageBreak/>
        <w:t>References</w:t>
      </w:r>
    </w:p>
    <w:p w14:paraId="5B00050B" w14:textId="77777777" w:rsidR="00DA3F1C" w:rsidRPr="005467EB" w:rsidRDefault="00DA3F1C" w:rsidP="00811951">
      <w:pPr>
        <w:pStyle w:val="pf0"/>
        <w:numPr>
          <w:ilvl w:val="0"/>
          <w:numId w:val="10"/>
        </w:numPr>
        <w:spacing w:before="0" w:beforeAutospacing="0" w:after="0" w:afterAutospacing="0"/>
        <w:rPr>
          <w:rStyle w:val="cf01"/>
          <w:rFonts w:ascii="Avenir Book" w:eastAsiaTheme="majorEastAsia" w:hAnsi="Avenir Book" w:cs="Times New Roman" w:hint="eastAsia"/>
          <w:color w:val="11639F"/>
          <w:sz w:val="30"/>
          <w:szCs w:val="36"/>
        </w:rPr>
        <w:sectPr w:rsidR="00DA3F1C" w:rsidRPr="005467EB" w:rsidSect="00E55AA9">
          <w:type w:val="continuous"/>
          <w:pgSz w:w="11906" w:h="16838"/>
          <w:pgMar w:top="288" w:right="720" w:bottom="288" w:left="720" w:header="283" w:footer="283" w:gutter="0"/>
          <w:cols w:space="576"/>
          <w:docGrid w:linePitch="360"/>
        </w:sectPr>
      </w:pPr>
    </w:p>
    <w:p w14:paraId="31ED9378" w14:textId="77777777" w:rsidR="00A36B72" w:rsidRPr="00811951" w:rsidRDefault="00A36B72" w:rsidP="00A81B11">
      <w:pPr>
        <w:pStyle w:val="pf0"/>
        <w:numPr>
          <w:ilvl w:val="0"/>
          <w:numId w:val="10"/>
        </w:numPr>
        <w:spacing w:before="0" w:beforeAutospacing="0" w:after="0" w:afterAutospacing="0"/>
        <w:ind w:right="-5"/>
        <w:jc w:val="both"/>
        <w:rPr>
          <w:rStyle w:val="cf01"/>
          <w:rFonts w:ascii="Avenir Book" w:eastAsiaTheme="majorEastAsia" w:hAnsi="Avenir Book" w:cs="Times New Roman" w:hint="eastAsia"/>
          <w:sz w:val="22"/>
          <w:szCs w:val="22"/>
        </w:rPr>
      </w:pPr>
      <w:r w:rsidRPr="00811951">
        <w:rPr>
          <w:rStyle w:val="cf01"/>
          <w:rFonts w:ascii="Avenir Book" w:eastAsiaTheme="majorEastAsia" w:hAnsi="Avenir Book" w:cs="Times New Roman"/>
          <w:sz w:val="22"/>
          <w:szCs w:val="22"/>
        </w:rPr>
        <w:t>The Holy Bible, New International Version. Leviticus 14:33–53. Grand Rapids, MI: Zondervan; 2011.</w:t>
      </w:r>
    </w:p>
    <w:p w14:paraId="023F1EB1"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United States Environmental Protection Agency (EPA). Indoor Air Facts No. 4 (Revised): Sick Building Syndrome. EPA 402-F-94-004. Washington, DC: US EPA; 1991. Accessed June 20, 2025. </w:t>
      </w:r>
      <w:hyperlink r:id="rId16" w:history="1">
        <w:r w:rsidRPr="00811951">
          <w:rPr>
            <w:rStyle w:val="Hyperlink"/>
            <w:rFonts w:ascii="Avenir Book" w:hAnsi="Avenir Book"/>
            <w:sz w:val="22"/>
            <w:szCs w:val="22"/>
          </w:rPr>
          <w:t>https://www.epa.gov/sites/default/files/2014-08/documents/sick_building_factsheet.pdf</w:t>
        </w:r>
      </w:hyperlink>
    </w:p>
    <w:p w14:paraId="4A891357"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World Health Organization (WHO). Indoor Air Quality: Biological Contaminants: Report on a WHO Meeting. European Series No. 31. Copenhagen, Denmark: WHO Regional Office for Europe; 2009. Accessed June 20, 2025. </w:t>
      </w:r>
      <w:hyperlink r:id="rId17" w:history="1">
        <w:r w:rsidRPr="00811951">
          <w:rPr>
            <w:rStyle w:val="Hyperlink"/>
            <w:rFonts w:ascii="Avenir Book" w:hAnsi="Avenir Book"/>
            <w:sz w:val="22"/>
            <w:szCs w:val="22"/>
          </w:rPr>
          <w:t>https://iris.who.int/handle/10665/260557</w:t>
        </w:r>
      </w:hyperlink>
    </w:p>
    <w:p w14:paraId="07B7BC70"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Sundell J. What we know, and don't know about sick building syndrome. ASHRAE J. 1996;38(6).</w:t>
      </w:r>
    </w:p>
    <w:p w14:paraId="2EC4D846" w14:textId="7D0DA79A"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Seppänen O, Fisk WJ, Mendell MJ. Association of ventilation rates and CO</w:t>
      </w:r>
      <w:r w:rsidRPr="00811951">
        <w:rPr>
          <w:rFonts w:ascii="Cambria Math" w:hAnsi="Cambria Math" w:cs="Cambria Math"/>
          <w:sz w:val="22"/>
          <w:szCs w:val="22"/>
        </w:rPr>
        <w:t>₂</w:t>
      </w:r>
      <w:r w:rsidRPr="00811951">
        <w:rPr>
          <w:rFonts w:ascii="Avenir Book" w:hAnsi="Avenir Book"/>
          <w:sz w:val="22"/>
          <w:szCs w:val="22"/>
        </w:rPr>
        <w:t xml:space="preserve"> concentrations with health and other responses in commercial and institutional buildings. Indoor Air. 1999;9(4):226</w:t>
      </w:r>
      <w:r w:rsidRPr="00811951">
        <w:rPr>
          <w:rFonts w:ascii="Tw Cen MT" w:hAnsi="Tw Cen MT" w:cs="Tw Cen MT"/>
          <w:sz w:val="22"/>
          <w:szCs w:val="22"/>
        </w:rPr>
        <w:t>–</w:t>
      </w:r>
      <w:r w:rsidRPr="00811951">
        <w:rPr>
          <w:rFonts w:ascii="Avenir Book" w:hAnsi="Avenir Book"/>
          <w:sz w:val="22"/>
          <w:szCs w:val="22"/>
        </w:rPr>
        <w:t>252. doi:10.1111/j.1600-0668.</w:t>
      </w:r>
      <w:r w:rsidR="00644422" w:rsidRPr="00811951">
        <w:rPr>
          <w:rFonts w:ascii="Avenir Book" w:hAnsi="Avenir Book"/>
          <w:sz w:val="22"/>
          <w:szCs w:val="22"/>
        </w:rPr>
        <w:t>1999. 00003.x</w:t>
      </w:r>
    </w:p>
    <w:p w14:paraId="50A9C920" w14:textId="4500A9DB"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Sundell J. On the history of indoor air quality and health. Indoor Air. 2004;14(Suppl 7):51–58. doi:10.1111/j.1600-0668.</w:t>
      </w:r>
      <w:r w:rsidR="00644422" w:rsidRPr="00811951">
        <w:rPr>
          <w:rFonts w:ascii="Avenir Book" w:hAnsi="Avenir Book"/>
          <w:sz w:val="22"/>
          <w:szCs w:val="22"/>
        </w:rPr>
        <w:t>2004. 00273.x</w:t>
      </w:r>
    </w:p>
    <w:p w14:paraId="1C95A658" w14:textId="70623401"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lang w:val="fr-FR"/>
        </w:rPr>
      </w:pPr>
      <w:r w:rsidRPr="00811951">
        <w:rPr>
          <w:rFonts w:ascii="Avenir Book" w:hAnsi="Avenir Book"/>
          <w:sz w:val="22"/>
          <w:szCs w:val="22"/>
        </w:rPr>
        <w:t xml:space="preserve">Joshi SM. The sick building syndrome. </w:t>
      </w:r>
      <w:r w:rsidRPr="00811951">
        <w:rPr>
          <w:rFonts w:ascii="Avenir Book" w:hAnsi="Avenir Book"/>
          <w:sz w:val="22"/>
          <w:szCs w:val="22"/>
          <w:lang w:val="fr-FR"/>
        </w:rPr>
        <w:t xml:space="preserve">Indian J Occup Environ Med. </w:t>
      </w:r>
      <w:r w:rsidR="00644422" w:rsidRPr="00811951">
        <w:rPr>
          <w:rFonts w:ascii="Avenir Book" w:hAnsi="Avenir Book"/>
          <w:sz w:val="22"/>
          <w:szCs w:val="22"/>
          <w:lang w:val="fr-FR"/>
        </w:rPr>
        <w:t>2008 ;</w:t>
      </w:r>
      <w:r w:rsidRPr="00811951">
        <w:rPr>
          <w:rFonts w:ascii="Avenir Book" w:hAnsi="Avenir Book"/>
          <w:sz w:val="22"/>
          <w:szCs w:val="22"/>
          <w:lang w:val="fr-FR"/>
        </w:rPr>
        <w:t>12(2</w:t>
      </w:r>
      <w:r w:rsidR="00644422" w:rsidRPr="00811951">
        <w:rPr>
          <w:rFonts w:ascii="Avenir Book" w:hAnsi="Avenir Book"/>
          <w:sz w:val="22"/>
          <w:szCs w:val="22"/>
          <w:lang w:val="fr-FR"/>
        </w:rPr>
        <w:t>) :</w:t>
      </w:r>
      <w:r w:rsidRPr="00811951">
        <w:rPr>
          <w:rFonts w:ascii="Avenir Book" w:hAnsi="Avenir Book"/>
          <w:sz w:val="22"/>
          <w:szCs w:val="22"/>
          <w:lang w:val="fr-FR"/>
        </w:rPr>
        <w:t>61–64.</w:t>
      </w:r>
    </w:p>
    <w:p w14:paraId="341B5004" w14:textId="1C9114B9"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lang w:val="fr-FR"/>
        </w:rPr>
        <w:t xml:space="preserve">Chawla H, Anand P, Garg K, et al. </w:t>
      </w:r>
      <w:r w:rsidRPr="00811951">
        <w:rPr>
          <w:rFonts w:ascii="Avenir Book" w:hAnsi="Avenir Book"/>
          <w:sz w:val="22"/>
          <w:szCs w:val="22"/>
        </w:rPr>
        <w:t xml:space="preserve">A comprehensive review of microbial contamination in the indoor environment: sources, sampling, health risks, and mitigation strategies. Front Public Health. </w:t>
      </w:r>
      <w:r w:rsidR="00644422" w:rsidRPr="00811951">
        <w:rPr>
          <w:rFonts w:ascii="Avenir Book" w:hAnsi="Avenir Book"/>
          <w:sz w:val="22"/>
          <w:szCs w:val="22"/>
        </w:rPr>
        <w:t>2023; 11:1285393</w:t>
      </w:r>
      <w:r w:rsidRPr="00811951">
        <w:rPr>
          <w:rFonts w:ascii="Avenir Book" w:hAnsi="Avenir Book"/>
          <w:sz w:val="22"/>
          <w:szCs w:val="22"/>
        </w:rPr>
        <w:t>. doi:10.3389/fpubh.2023.1285393</w:t>
      </w:r>
    </w:p>
    <w:p w14:paraId="16D97F53"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New York City Department of Health. </w:t>
      </w:r>
      <w:r w:rsidRPr="00811951">
        <w:rPr>
          <w:rStyle w:val="Emphasis"/>
          <w:rFonts w:ascii="Avenir Book" w:hAnsi="Avenir Book"/>
          <w:sz w:val="22"/>
          <w:szCs w:val="22"/>
        </w:rPr>
        <w:t>Guidelines on Assessment and Remediation of Stachybotrys atra in Indoor Environments</w:t>
      </w:r>
      <w:r w:rsidRPr="00811951">
        <w:rPr>
          <w:rFonts w:ascii="Avenir Book" w:hAnsi="Avenir Book"/>
          <w:sz w:val="22"/>
          <w:szCs w:val="22"/>
        </w:rPr>
        <w:t>. New York, NY: New York City Department of Health; 1993.</w:t>
      </w:r>
    </w:p>
    <w:p w14:paraId="30F64CC6"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New York City Department of Health and Mental Hygiene, Bureau of Environmental &amp; Occupational Disease Epidemiology. </w:t>
      </w:r>
      <w:r w:rsidRPr="00811951">
        <w:rPr>
          <w:rStyle w:val="Emphasis"/>
          <w:rFonts w:ascii="Avenir Book" w:hAnsi="Avenir Book"/>
          <w:sz w:val="22"/>
          <w:szCs w:val="22"/>
        </w:rPr>
        <w:t>Guidelines on Assessment and Remediation of Fungi in Indoor Environments</w:t>
      </w:r>
      <w:r w:rsidRPr="00811951">
        <w:rPr>
          <w:rFonts w:ascii="Avenir Book" w:hAnsi="Avenir Book"/>
          <w:sz w:val="22"/>
          <w:szCs w:val="22"/>
        </w:rPr>
        <w:t>. New York, NY: NYC DOHMH; 2000.</w:t>
      </w:r>
    </w:p>
    <w:p w14:paraId="73EC158D"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American Conference of Governmental Industrial Hygienists. </w:t>
      </w:r>
      <w:r w:rsidRPr="00811951">
        <w:rPr>
          <w:rStyle w:val="Emphasis"/>
          <w:rFonts w:ascii="Avenir Book" w:hAnsi="Avenir Book"/>
          <w:sz w:val="22"/>
          <w:szCs w:val="22"/>
        </w:rPr>
        <w:t>Bioaerosols: Assessment and Control</w:t>
      </w:r>
      <w:r w:rsidRPr="00811951">
        <w:rPr>
          <w:rFonts w:ascii="Avenir Book" w:hAnsi="Avenir Book"/>
          <w:sz w:val="22"/>
          <w:szCs w:val="22"/>
        </w:rPr>
        <w:t>. Cincinnati, OH: ACGIH; 1999.</w:t>
      </w:r>
    </w:p>
    <w:p w14:paraId="4303C952"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US Environmental Protection Agency. </w:t>
      </w:r>
      <w:r w:rsidRPr="00811951">
        <w:rPr>
          <w:rStyle w:val="Emphasis"/>
          <w:rFonts w:ascii="Avenir Book" w:hAnsi="Avenir Book"/>
          <w:sz w:val="22"/>
          <w:szCs w:val="22"/>
        </w:rPr>
        <w:t>Mold Remediation in Schools and Commercial Buildings</w:t>
      </w:r>
      <w:r w:rsidRPr="00811951">
        <w:rPr>
          <w:rFonts w:ascii="Avenir Book" w:hAnsi="Avenir Book"/>
          <w:sz w:val="22"/>
          <w:szCs w:val="22"/>
        </w:rPr>
        <w:t>. EPA 402-K-01-001. Washington, DC: US Environmental Protection Agency; 2001.</w:t>
      </w:r>
    </w:p>
    <w:p w14:paraId="034F1573"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lang w:val="fr-FR"/>
        </w:rPr>
        <w:t xml:space="preserve">Górny RL, Reponen T, Willeke K, Schmechel D, Robine E, Boissier M, Grinshpun SA. </w:t>
      </w:r>
      <w:r w:rsidRPr="00811951">
        <w:rPr>
          <w:rFonts w:ascii="Avenir Book" w:hAnsi="Avenir Book"/>
          <w:sz w:val="22"/>
          <w:szCs w:val="22"/>
        </w:rPr>
        <w:t xml:space="preserve">Fungal fragments as indoor air biocontaminants. </w:t>
      </w:r>
      <w:r w:rsidRPr="00811951">
        <w:rPr>
          <w:rStyle w:val="Emphasis"/>
          <w:rFonts w:ascii="Avenir Book" w:eastAsiaTheme="majorEastAsia" w:hAnsi="Avenir Book"/>
          <w:sz w:val="22"/>
          <w:szCs w:val="22"/>
        </w:rPr>
        <w:t>Appl Environ Microbiol</w:t>
      </w:r>
      <w:r w:rsidRPr="00811951">
        <w:rPr>
          <w:rFonts w:ascii="Avenir Book" w:hAnsi="Avenir Book"/>
          <w:sz w:val="22"/>
          <w:szCs w:val="22"/>
        </w:rPr>
        <w:t>. 2002;68(7):3522–3531. doi:10.1128/AEM.68.7.3522-3531.2002</w:t>
      </w:r>
    </w:p>
    <w:p w14:paraId="0BF69B4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Górny RL, Reponen T, Willeke K, et al. Release of fungal fragments in relation to fungal spore release from contaminated building materials. </w:t>
      </w:r>
      <w:r w:rsidRPr="00811951">
        <w:rPr>
          <w:rStyle w:val="Emphasis"/>
          <w:rFonts w:ascii="Avenir Book" w:eastAsiaTheme="majorEastAsia" w:hAnsi="Avenir Book"/>
          <w:sz w:val="22"/>
          <w:szCs w:val="22"/>
        </w:rPr>
        <w:t>J Aerosol Sci</w:t>
      </w:r>
      <w:r w:rsidRPr="00811951">
        <w:rPr>
          <w:rFonts w:ascii="Avenir Book" w:hAnsi="Avenir Book"/>
          <w:sz w:val="22"/>
          <w:szCs w:val="22"/>
        </w:rPr>
        <w:t>. 2002;33(10):1319–1332. doi:10.1016/S0021-8502(02)00066-9</w:t>
      </w:r>
    </w:p>
    <w:p w14:paraId="0EAF6C48"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Brasel TL, Martin JM, Carriker CG, Wilson SC, Straus DC. Detection of airborne </w:t>
      </w:r>
      <w:r w:rsidRPr="00811951">
        <w:rPr>
          <w:rStyle w:val="Emphasis"/>
          <w:rFonts w:ascii="Avenir Book" w:eastAsiaTheme="majorEastAsia" w:hAnsi="Avenir Book"/>
          <w:sz w:val="22"/>
          <w:szCs w:val="22"/>
        </w:rPr>
        <w:t>Stachybotrys chartarum</w:t>
      </w:r>
      <w:r w:rsidRPr="00811951">
        <w:rPr>
          <w:rFonts w:ascii="Avenir Book" w:hAnsi="Avenir Book"/>
          <w:sz w:val="22"/>
          <w:szCs w:val="22"/>
        </w:rPr>
        <w:t xml:space="preserve"> macrocyclic trichothecene mycotoxins on particulates smaller than conidia. </w:t>
      </w:r>
      <w:r w:rsidRPr="00811951">
        <w:rPr>
          <w:rStyle w:val="Emphasis"/>
          <w:rFonts w:ascii="Avenir Book" w:eastAsiaTheme="majorEastAsia" w:hAnsi="Avenir Book"/>
          <w:sz w:val="22"/>
          <w:szCs w:val="22"/>
        </w:rPr>
        <w:t>Appl Environ Microbiol</w:t>
      </w:r>
      <w:r w:rsidRPr="00811951">
        <w:rPr>
          <w:rFonts w:ascii="Avenir Book" w:hAnsi="Avenir Book"/>
          <w:sz w:val="22"/>
          <w:szCs w:val="22"/>
        </w:rPr>
        <w:t>. 2005;71(1):114–122. doi:10.1128/AEM.71.1.114-122.2005</w:t>
      </w:r>
    </w:p>
    <w:p w14:paraId="7AD9B1D4" w14:textId="56CA8E30"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Cho SH, Seo SC, Schmechel D, Grinshpun SA, Reponen T. Aerodynamic characteristics and respiratory deposition of fungal fragments. </w:t>
      </w:r>
      <w:r w:rsidRPr="00811951">
        <w:rPr>
          <w:rStyle w:val="Emphasis"/>
          <w:rFonts w:ascii="Avenir Book" w:eastAsiaTheme="majorEastAsia" w:hAnsi="Avenir Book"/>
          <w:sz w:val="22"/>
          <w:szCs w:val="22"/>
        </w:rPr>
        <w:t>Atmos Environ</w:t>
      </w:r>
      <w:r w:rsidRPr="00811951">
        <w:rPr>
          <w:rFonts w:ascii="Avenir Book" w:hAnsi="Avenir Book"/>
          <w:sz w:val="22"/>
          <w:szCs w:val="22"/>
        </w:rPr>
        <w:t xml:space="preserve">. 2005;39(30):5454–5465. </w:t>
      </w:r>
      <w:r w:rsidR="00644422" w:rsidRPr="00811951">
        <w:rPr>
          <w:rFonts w:ascii="Avenir Book" w:hAnsi="Avenir Book"/>
          <w:sz w:val="22"/>
          <w:szCs w:val="22"/>
        </w:rPr>
        <w:t>doi: 10.1016/j.atmosenv</w:t>
      </w:r>
      <w:r w:rsidRPr="00811951">
        <w:rPr>
          <w:rFonts w:ascii="Avenir Book" w:hAnsi="Avenir Book"/>
          <w:sz w:val="22"/>
          <w:szCs w:val="22"/>
        </w:rPr>
        <w:t>.2005.05.029</w:t>
      </w:r>
    </w:p>
    <w:p w14:paraId="0C87FF01" w14:textId="035C8600"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CA7E15">
        <w:rPr>
          <w:rFonts w:ascii="Avenir Book" w:hAnsi="Avenir Book"/>
          <w:sz w:val="22"/>
          <w:szCs w:val="22"/>
        </w:rPr>
        <w:t xml:space="preserve">Reponen T, Seo SC, Grimsley F, Lee T, Crawford C, Grinshpun SA. </w:t>
      </w:r>
      <w:r w:rsidRPr="00811951">
        <w:rPr>
          <w:rFonts w:ascii="Avenir Book" w:hAnsi="Avenir Book"/>
          <w:sz w:val="22"/>
          <w:szCs w:val="22"/>
        </w:rPr>
        <w:t xml:space="preserve">Fungal fragments in moldy houses: a field study in homes in New Orleans and southern Ohio. </w:t>
      </w:r>
      <w:r w:rsidRPr="00811951">
        <w:rPr>
          <w:rStyle w:val="Emphasis"/>
          <w:rFonts w:ascii="Avenir Book" w:eastAsiaTheme="majorEastAsia" w:hAnsi="Avenir Book"/>
          <w:sz w:val="22"/>
          <w:szCs w:val="22"/>
        </w:rPr>
        <w:t>Atmos Environ</w:t>
      </w:r>
      <w:r w:rsidRPr="00811951">
        <w:rPr>
          <w:rFonts w:ascii="Avenir Book" w:hAnsi="Avenir Book"/>
          <w:sz w:val="22"/>
          <w:szCs w:val="22"/>
        </w:rPr>
        <w:t xml:space="preserve">. 2007;41(37):8140–8149. </w:t>
      </w:r>
      <w:r w:rsidR="00644422" w:rsidRPr="00811951">
        <w:rPr>
          <w:rFonts w:ascii="Avenir Book" w:hAnsi="Avenir Book"/>
          <w:sz w:val="22"/>
          <w:szCs w:val="22"/>
        </w:rPr>
        <w:t>doi: 10.1016/j.atmosenv</w:t>
      </w:r>
      <w:r w:rsidRPr="00811951">
        <w:rPr>
          <w:rFonts w:ascii="Avenir Book" w:hAnsi="Avenir Book"/>
          <w:sz w:val="22"/>
          <w:szCs w:val="22"/>
        </w:rPr>
        <w:t>.2007.06.004</w:t>
      </w:r>
    </w:p>
    <w:p w14:paraId="584E714D" w14:textId="7532AD7D"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Adhikari A, Reponen T, Rylander R. Airborne fungal cell fragments in homes in relation to total fungal biomass. </w:t>
      </w:r>
      <w:r w:rsidRPr="00811951">
        <w:rPr>
          <w:rStyle w:val="Emphasis"/>
          <w:rFonts w:ascii="Avenir Book" w:eastAsiaTheme="majorEastAsia" w:hAnsi="Avenir Book"/>
          <w:sz w:val="22"/>
          <w:szCs w:val="22"/>
        </w:rPr>
        <w:t>Indoor Air</w:t>
      </w:r>
      <w:r w:rsidRPr="00811951">
        <w:rPr>
          <w:rFonts w:ascii="Avenir Book" w:hAnsi="Avenir Book"/>
          <w:sz w:val="22"/>
          <w:szCs w:val="22"/>
        </w:rPr>
        <w:t>. 2013;23(1):1–6. doi:10.1111/j.1600-0668.</w:t>
      </w:r>
      <w:r w:rsidR="00644422" w:rsidRPr="00811951">
        <w:rPr>
          <w:rFonts w:ascii="Avenir Book" w:hAnsi="Avenir Book"/>
          <w:sz w:val="22"/>
          <w:szCs w:val="22"/>
        </w:rPr>
        <w:t>2012. 00799.x</w:t>
      </w:r>
    </w:p>
    <w:p w14:paraId="545D69B1"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Seo SC, Ji YG, Yoo Y, Kwon MH, Choung JT. Submicron fungal fragments as another indoor biocontaminant in elementary schools. </w:t>
      </w:r>
      <w:r w:rsidRPr="00811951">
        <w:rPr>
          <w:rStyle w:val="Emphasis"/>
          <w:rFonts w:ascii="Avenir Book" w:eastAsiaTheme="majorEastAsia" w:hAnsi="Avenir Book"/>
          <w:sz w:val="22"/>
          <w:szCs w:val="22"/>
        </w:rPr>
        <w:t>Environ Sci Process Impacts</w:t>
      </w:r>
      <w:r w:rsidRPr="00811951">
        <w:rPr>
          <w:rFonts w:ascii="Avenir Book" w:hAnsi="Avenir Book"/>
          <w:sz w:val="22"/>
          <w:szCs w:val="22"/>
        </w:rPr>
        <w:t>. 2015;17(6):1164–1172. doi:10.1039/c5em00104k</w:t>
      </w:r>
    </w:p>
    <w:p w14:paraId="1EAC9986" w14:textId="5B8E4E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lang w:val="fr-FR"/>
        </w:rPr>
        <w:t xml:space="preserve">Lee T, Grimsley F, Seo SC, Reponen T, Grinshpun SA. </w:t>
      </w:r>
      <w:r w:rsidRPr="00811951">
        <w:rPr>
          <w:rFonts w:ascii="Avenir Book" w:hAnsi="Avenir Book"/>
          <w:sz w:val="22"/>
          <w:szCs w:val="22"/>
        </w:rPr>
        <w:t xml:space="preserve">The level of submicron fungal fragments in homes with asthmatic children. </w:t>
      </w:r>
      <w:r w:rsidRPr="00811951">
        <w:rPr>
          <w:rStyle w:val="Emphasis"/>
          <w:rFonts w:ascii="Avenir Book" w:eastAsiaTheme="majorEastAsia" w:hAnsi="Avenir Book"/>
          <w:sz w:val="22"/>
          <w:szCs w:val="22"/>
        </w:rPr>
        <w:t>Environ Res</w:t>
      </w:r>
      <w:r w:rsidRPr="00811951">
        <w:rPr>
          <w:rFonts w:ascii="Avenir Book" w:hAnsi="Avenir Book"/>
          <w:sz w:val="22"/>
          <w:szCs w:val="22"/>
        </w:rPr>
        <w:t xml:space="preserve">. </w:t>
      </w:r>
      <w:r w:rsidR="00644422" w:rsidRPr="00811951">
        <w:rPr>
          <w:rFonts w:ascii="Avenir Book" w:hAnsi="Avenir Book"/>
          <w:sz w:val="22"/>
          <w:szCs w:val="22"/>
        </w:rPr>
        <w:t>2014; 131:71</w:t>
      </w:r>
      <w:r w:rsidRPr="00811951">
        <w:rPr>
          <w:rFonts w:ascii="Avenir Book" w:hAnsi="Avenir Book"/>
          <w:sz w:val="22"/>
          <w:szCs w:val="22"/>
        </w:rPr>
        <w:t xml:space="preserve">–76. </w:t>
      </w:r>
      <w:r w:rsidR="00644422" w:rsidRPr="00811951">
        <w:rPr>
          <w:rFonts w:ascii="Avenir Book" w:hAnsi="Avenir Book"/>
          <w:sz w:val="22"/>
          <w:szCs w:val="22"/>
        </w:rPr>
        <w:t>doi: 10.1016/j.envres</w:t>
      </w:r>
      <w:r w:rsidRPr="00811951">
        <w:rPr>
          <w:rFonts w:ascii="Avenir Book" w:hAnsi="Avenir Book"/>
          <w:sz w:val="22"/>
          <w:szCs w:val="22"/>
        </w:rPr>
        <w:t>.2014.02.014</w:t>
      </w:r>
    </w:p>
    <w:p w14:paraId="5E8A6492"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Institute of Inspection, Cleaning and Restoration Certification (IICRC). </w:t>
      </w:r>
      <w:r w:rsidRPr="00811951">
        <w:rPr>
          <w:rStyle w:val="Emphasis"/>
          <w:rFonts w:ascii="Avenir Book" w:hAnsi="Avenir Book"/>
          <w:sz w:val="22"/>
          <w:szCs w:val="22"/>
        </w:rPr>
        <w:t>IICRC S500: Standard and Reference Guide for Professional Water Damage Restoration</w:t>
      </w:r>
      <w:r w:rsidRPr="00811951">
        <w:rPr>
          <w:rFonts w:ascii="Avenir Book" w:hAnsi="Avenir Book"/>
          <w:sz w:val="22"/>
          <w:szCs w:val="22"/>
        </w:rPr>
        <w:t>. 2nd ed. Vancouver, WA: IICRC; 1999.</w:t>
      </w:r>
    </w:p>
    <w:p w14:paraId="7E412C6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Institute of Inspection, Cleaning and Restoration Certification (IICRC). </w:t>
      </w:r>
      <w:r w:rsidRPr="00811951">
        <w:rPr>
          <w:rStyle w:val="Emphasis"/>
          <w:rFonts w:ascii="Avenir Book" w:hAnsi="Avenir Book"/>
          <w:sz w:val="22"/>
          <w:szCs w:val="22"/>
        </w:rPr>
        <w:t>IICRC S520: Standard and Reference Guide for Professional Mold Remediation</w:t>
      </w:r>
      <w:r w:rsidRPr="00811951">
        <w:rPr>
          <w:rFonts w:ascii="Avenir Book" w:hAnsi="Avenir Book"/>
          <w:sz w:val="22"/>
          <w:szCs w:val="22"/>
        </w:rPr>
        <w:t>. 1st ed. Vancouver, WA: IICRC; 2003.</w:t>
      </w:r>
    </w:p>
    <w:p w14:paraId="25512C7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Institute of Inspection, Cleaning and Restoration Certification (IICRC). </w:t>
      </w:r>
      <w:r w:rsidRPr="00811951">
        <w:rPr>
          <w:rStyle w:val="Emphasis"/>
          <w:rFonts w:ascii="Avenir Book" w:hAnsi="Avenir Book"/>
          <w:sz w:val="22"/>
          <w:szCs w:val="22"/>
        </w:rPr>
        <w:t>ANSI/IICRC S520-2024: Standard for Professional Mold Remediation</w:t>
      </w:r>
      <w:r w:rsidRPr="00811951">
        <w:rPr>
          <w:rFonts w:ascii="Avenir Book" w:hAnsi="Avenir Book"/>
          <w:sz w:val="22"/>
          <w:szCs w:val="22"/>
        </w:rPr>
        <w:t>. 4th ed. Las Vegas, NV: Institute of Inspection, Cleaning and Restoration Certification; 2024.</w:t>
      </w:r>
    </w:p>
    <w:p w14:paraId="3623517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Banta JC, Passmore C, Holland J. Modeling the equilibrium spore load of a building. In: Johanning E, ed. </w:t>
      </w:r>
      <w:r w:rsidRPr="00811951">
        <w:rPr>
          <w:rStyle w:val="Emphasis"/>
          <w:rFonts w:ascii="Avenir Book" w:hAnsi="Avenir Book"/>
          <w:sz w:val="22"/>
          <w:szCs w:val="22"/>
        </w:rPr>
        <w:t>Bioaerosols, Fungi, Bacteria, Mycotoxins, and Human Health</w:t>
      </w:r>
      <w:r w:rsidRPr="00811951">
        <w:rPr>
          <w:rFonts w:ascii="Avenir Book" w:hAnsi="Avenir Book"/>
          <w:sz w:val="22"/>
          <w:szCs w:val="22"/>
        </w:rPr>
        <w:t>. Albany, NY: Fungal Research Group Foundation; 2005:262–269.</w:t>
      </w:r>
    </w:p>
    <w:p w14:paraId="03F8BDE3" w14:textId="6947FE2B"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Hardin BD, Kelman BJ, Saxon A. Adverse human health effects associated with molds in the indoor environment. </w:t>
      </w:r>
      <w:r w:rsidRPr="00811951">
        <w:rPr>
          <w:rStyle w:val="Emphasis"/>
          <w:rFonts w:ascii="Avenir Book" w:hAnsi="Avenir Book"/>
          <w:sz w:val="22"/>
          <w:szCs w:val="22"/>
        </w:rPr>
        <w:t>J Occup Environ Med</w:t>
      </w:r>
      <w:r w:rsidRPr="00811951">
        <w:rPr>
          <w:rFonts w:ascii="Avenir Book" w:hAnsi="Avenir Book"/>
          <w:sz w:val="22"/>
          <w:szCs w:val="22"/>
        </w:rPr>
        <w:t xml:space="preserve">. 2003;45(5):470–478. </w:t>
      </w:r>
      <w:r w:rsidR="00644422" w:rsidRPr="00811951">
        <w:rPr>
          <w:rFonts w:ascii="Avenir Book" w:hAnsi="Avenir Book"/>
          <w:sz w:val="22"/>
          <w:szCs w:val="22"/>
        </w:rPr>
        <w:t>doi: 10.1097/01.jom</w:t>
      </w:r>
      <w:r w:rsidRPr="00811951">
        <w:rPr>
          <w:rFonts w:ascii="Avenir Book" w:hAnsi="Avenir Book"/>
          <w:sz w:val="22"/>
          <w:szCs w:val="22"/>
        </w:rPr>
        <w:t>.0000069239.19784.5b</w:t>
      </w:r>
    </w:p>
    <w:p w14:paraId="789972C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inorHAnsi" w:hAnsi="Avenir Book"/>
          <w:kern w:val="2"/>
          <w:sz w:val="22"/>
          <w:szCs w:val="22"/>
          <w14:ligatures w14:val="standardContextual"/>
        </w:rPr>
        <w:t xml:space="preserve">Kelman BJ. </w:t>
      </w:r>
      <w:r w:rsidRPr="00811951">
        <w:rPr>
          <w:rFonts w:ascii="Avenir Book" w:eastAsiaTheme="minorHAnsi" w:hAnsi="Avenir Book"/>
          <w:i/>
          <w:iCs/>
          <w:kern w:val="2"/>
          <w:sz w:val="22"/>
          <w:szCs w:val="22"/>
          <w14:ligatures w14:val="standardContextual"/>
        </w:rPr>
        <w:t>Deposition of Bruce J. Kelman (Kelman &amp; GlobalTox, Inc. v. Kramer)</w:t>
      </w:r>
      <w:r w:rsidRPr="00811951">
        <w:rPr>
          <w:rFonts w:ascii="Avenir Book" w:eastAsiaTheme="minorHAnsi" w:hAnsi="Avenir Book"/>
          <w:kern w:val="2"/>
          <w:sz w:val="22"/>
          <w:szCs w:val="22"/>
          <w14:ligatures w14:val="standardContextual"/>
        </w:rPr>
        <w:t xml:space="preserve">. July 22, 2008. Accessed July 1, 2025. </w:t>
      </w:r>
      <w:hyperlink r:id="rId18" w:tgtFrame="_new" w:history="1">
        <w:r w:rsidRPr="00811951">
          <w:rPr>
            <w:rFonts w:ascii="Avenir Book" w:eastAsiaTheme="minorHAnsi" w:hAnsi="Avenir Book"/>
            <w:color w:val="0000FF"/>
            <w:kern w:val="2"/>
            <w:sz w:val="22"/>
            <w:szCs w:val="22"/>
            <w:u w:val="single"/>
            <w14:ligatures w14:val="standardContextual"/>
          </w:rPr>
          <w:t>https://katysexposure.com/wp-content/uploads/2021/03/kelman-deposition-july-22-2008-kelman-and-globaltox-v-kramer.pdf</w:t>
        </w:r>
      </w:hyperlink>
    </w:p>
    <w:p w14:paraId="31D4F072"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inorHAnsi" w:hAnsi="Avenir Book"/>
          <w:kern w:val="2"/>
          <w:sz w:val="22"/>
          <w:szCs w:val="22"/>
          <w14:ligatures w14:val="standardContextual"/>
        </w:rPr>
        <w:t xml:space="preserve">Kramer S. </w:t>
      </w:r>
      <w:r w:rsidRPr="00811951">
        <w:rPr>
          <w:rFonts w:ascii="Avenir Book" w:eastAsiaTheme="minorHAnsi" w:hAnsi="Avenir Book"/>
          <w:i/>
          <w:iCs/>
          <w:kern w:val="2"/>
          <w:sz w:val="22"/>
          <w:szCs w:val="22"/>
          <w14:ligatures w14:val="standardContextual"/>
        </w:rPr>
        <w:t>Petition for Rehearing, Case No. D054496 / D047758, California Court of Appeal</w:t>
      </w:r>
      <w:r w:rsidRPr="00811951">
        <w:rPr>
          <w:rFonts w:ascii="Avenir Book" w:eastAsiaTheme="minorHAnsi" w:hAnsi="Avenir Book"/>
          <w:kern w:val="2"/>
          <w:sz w:val="22"/>
          <w:szCs w:val="22"/>
          <w14:ligatures w14:val="standardContextual"/>
        </w:rPr>
        <w:t xml:space="preserve">. October 22, 2010. Accessed July 1, 2025. </w:t>
      </w:r>
      <w:hyperlink r:id="rId19" w:tgtFrame="_new" w:history="1">
        <w:r w:rsidRPr="00811951">
          <w:rPr>
            <w:rFonts w:ascii="Avenir Book" w:eastAsiaTheme="minorHAnsi" w:hAnsi="Avenir Book"/>
            <w:color w:val="0000FF"/>
            <w:kern w:val="2"/>
            <w:sz w:val="22"/>
            <w:szCs w:val="22"/>
            <w:u w:val="single"/>
            <w14:ligatures w14:val="standardContextual"/>
          </w:rPr>
          <w:t>https://katysexposure.com/wp-content/uploads/2021/03/10.22.10-final-petition-to-ca-supreme-ct-w-exhibilts.pdf</w:t>
        </w:r>
      </w:hyperlink>
    </w:p>
    <w:p w14:paraId="51190913"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inorHAnsi" w:hAnsi="Avenir Book"/>
          <w:kern w:val="2"/>
          <w:sz w:val="22"/>
          <w:szCs w:val="22"/>
          <w14:ligatures w14:val="standardContextual"/>
        </w:rPr>
        <w:t xml:space="preserve">Mold-Help.org. Mold health rights advocate is sued by GlobalTox (now Veritox). Published June 2006. Accessed July 1, 2025. </w:t>
      </w:r>
      <w:hyperlink r:id="rId20" w:tgtFrame="_new" w:history="1">
        <w:r w:rsidRPr="00811951">
          <w:rPr>
            <w:rFonts w:ascii="Avenir Book" w:eastAsiaTheme="minorHAnsi" w:hAnsi="Avenir Book"/>
            <w:color w:val="0000FF"/>
            <w:kern w:val="2"/>
            <w:sz w:val="22"/>
            <w:szCs w:val="22"/>
            <w:u w:val="single"/>
            <w14:ligatures w14:val="standardContextual"/>
          </w:rPr>
          <w:t>https://www.mold-help.org/mold-health-rights-advocate-sued-by-globaltox-now-veritox</w:t>
        </w:r>
      </w:hyperlink>
    </w:p>
    <w:p w14:paraId="487DF891"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inorHAnsi" w:hAnsi="Avenir Book"/>
          <w:kern w:val="2"/>
          <w:sz w:val="22"/>
          <w:szCs w:val="22"/>
          <w14:ligatures w14:val="standardContextual"/>
        </w:rPr>
        <w:t xml:space="preserve">Adamy J. Amid suits over mold, experts wear two hats. </w:t>
      </w:r>
      <w:r w:rsidRPr="00811951">
        <w:rPr>
          <w:rFonts w:ascii="Avenir Book" w:eastAsiaTheme="minorHAnsi" w:hAnsi="Avenir Book"/>
          <w:i/>
          <w:iCs/>
          <w:kern w:val="2"/>
          <w:sz w:val="22"/>
          <w:szCs w:val="22"/>
          <w14:ligatures w14:val="standardContextual"/>
        </w:rPr>
        <w:t>Wall Street Journal</w:t>
      </w:r>
      <w:r w:rsidRPr="00811951">
        <w:rPr>
          <w:rFonts w:ascii="Avenir Book" w:eastAsiaTheme="minorHAnsi" w:hAnsi="Avenir Book"/>
          <w:kern w:val="2"/>
          <w:sz w:val="22"/>
          <w:szCs w:val="22"/>
          <w14:ligatures w14:val="standardContextual"/>
        </w:rPr>
        <w:t xml:space="preserve">. February 7, 2007. Reprinted by WonderMakers Environmental. Accessed July 1, 2025. </w:t>
      </w:r>
      <w:hyperlink r:id="rId21" w:tgtFrame="_new" w:history="1">
        <w:r w:rsidRPr="00811951">
          <w:rPr>
            <w:rFonts w:ascii="Avenir Book" w:eastAsiaTheme="minorHAnsi" w:hAnsi="Avenir Book"/>
            <w:color w:val="0000FF"/>
            <w:kern w:val="2"/>
            <w:sz w:val="22"/>
            <w:szCs w:val="22"/>
            <w:u w:val="single"/>
            <w14:ligatures w14:val="standardContextual"/>
          </w:rPr>
          <w:t>https://www.wondermakers.com/Portals/0/docs/02.%20Amid%20Suits%20Over%20Mold%20Experts%20Wear%20Two%20Hats%2002.07.pdf</w:t>
        </w:r>
      </w:hyperlink>
    </w:p>
    <w:p w14:paraId="23B5A446" w14:textId="449A3B23"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Craner J. A critique of the ACOEM statement on mold: undisclosed conflicts of interest in the creation of an "evidence-based" statement. </w:t>
      </w:r>
      <w:r w:rsidRPr="00811951">
        <w:rPr>
          <w:rStyle w:val="Emphasis"/>
          <w:rFonts w:ascii="Avenir Book" w:hAnsi="Avenir Book"/>
          <w:sz w:val="22"/>
          <w:szCs w:val="22"/>
        </w:rPr>
        <w:t>Int J Occup Environ Health</w:t>
      </w:r>
      <w:r w:rsidRPr="00811951">
        <w:rPr>
          <w:rFonts w:ascii="Avenir Book" w:hAnsi="Avenir Book"/>
          <w:sz w:val="22"/>
          <w:szCs w:val="22"/>
        </w:rPr>
        <w:t>. 2008;14(4):283–298.</w:t>
      </w:r>
      <w:r w:rsidR="00545464">
        <w:rPr>
          <w:rFonts w:ascii="Avenir Book" w:hAnsi="Avenir Book"/>
          <w:sz w:val="22"/>
          <w:szCs w:val="22"/>
        </w:rPr>
        <w:tab/>
      </w:r>
      <w:r w:rsidRPr="00811951">
        <w:rPr>
          <w:rFonts w:ascii="Avenir Book" w:hAnsi="Avenir Book"/>
          <w:sz w:val="22"/>
          <w:szCs w:val="22"/>
        </w:rPr>
        <w:t xml:space="preserve"> doi:10.1179/oeh.2008.14.4.283</w:t>
      </w:r>
    </w:p>
    <w:p w14:paraId="0A6BE3DB"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Storey E, Dangman KH, Schenck P, et al. </w:t>
      </w:r>
      <w:r w:rsidRPr="00811951">
        <w:rPr>
          <w:rStyle w:val="Emphasis"/>
          <w:rFonts w:ascii="Avenir Book" w:hAnsi="Avenir Book"/>
          <w:sz w:val="22"/>
          <w:szCs w:val="22"/>
        </w:rPr>
        <w:t>Guidance for Clinicians on the Recognition and Management of Health Effects Related to Mold Exposure and Moisture Indoors</w:t>
      </w:r>
      <w:r w:rsidRPr="00811951">
        <w:rPr>
          <w:rFonts w:ascii="Avenir Book" w:hAnsi="Avenir Book"/>
          <w:sz w:val="22"/>
          <w:szCs w:val="22"/>
        </w:rPr>
        <w:t>. Farmington, CT: University of Connecticut Health Center, Division of Occupational and Environmental Medicine, Center for Indoor Environments and Health; 2004.</w:t>
      </w:r>
    </w:p>
    <w:p w14:paraId="6810F48A" w14:textId="4EEBD846"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Haugland RA, Vesper SJ. Method of identifying and quantifying specific fungi and bacteria. US patent 6,387,652 B1. May 14, 2002. Assigned to </w:t>
      </w:r>
      <w:r w:rsidR="00644422" w:rsidRPr="00811951">
        <w:rPr>
          <w:rFonts w:ascii="Avenir Book" w:hAnsi="Avenir Book"/>
          <w:sz w:val="22"/>
          <w:szCs w:val="22"/>
        </w:rPr>
        <w:t>the US</w:t>
      </w:r>
      <w:r w:rsidRPr="00811951">
        <w:rPr>
          <w:rFonts w:ascii="Avenir Book" w:hAnsi="Avenir Book"/>
          <w:sz w:val="22"/>
          <w:szCs w:val="22"/>
        </w:rPr>
        <w:t xml:space="preserve"> Environmental Protection Agency.</w:t>
      </w:r>
    </w:p>
    <w:p w14:paraId="6D8243DF"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Vesper SJ. Mold specific quantitative PCR for rapid identification and enumeration. Presented at: 7th Annual Army Force Health Protection Conference; August 6–12, 2004; Albuquerque, NM.</w:t>
      </w:r>
    </w:p>
    <w:p w14:paraId="3972B7E0"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Vesper SJ, Haugland C, Barnes C, Reponen F, Grinshpun SA. Development of an environmental relative moldiness index for US homes. </w:t>
      </w:r>
      <w:r w:rsidRPr="00811951">
        <w:rPr>
          <w:rStyle w:val="Emphasis"/>
          <w:rFonts w:ascii="Avenir Book" w:eastAsiaTheme="majorEastAsia" w:hAnsi="Avenir Book"/>
          <w:sz w:val="22"/>
          <w:szCs w:val="22"/>
        </w:rPr>
        <w:t>Appl Environ Microbiol</w:t>
      </w:r>
      <w:r w:rsidRPr="00811951">
        <w:rPr>
          <w:rFonts w:ascii="Avenir Book" w:hAnsi="Avenir Book"/>
          <w:sz w:val="22"/>
          <w:szCs w:val="22"/>
        </w:rPr>
        <w:t>. 2007;73(11):346–356.</w:t>
      </w:r>
    </w:p>
    <w:p w14:paraId="0104DB94" w14:textId="6BDB8920"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Vesper SJ. The development and application of the Environmental Relative Moldiness Index (ERMI). </w:t>
      </w:r>
      <w:r w:rsidRPr="00811951">
        <w:rPr>
          <w:rStyle w:val="Emphasis"/>
          <w:rFonts w:ascii="Avenir Book" w:eastAsiaTheme="majorEastAsia" w:hAnsi="Avenir Book"/>
          <w:sz w:val="22"/>
          <w:szCs w:val="22"/>
        </w:rPr>
        <w:t>Crit Rev Microbiol</w:t>
      </w:r>
      <w:r w:rsidRPr="00811951">
        <w:rPr>
          <w:rFonts w:ascii="Avenir Book" w:hAnsi="Avenir Book"/>
          <w:sz w:val="22"/>
          <w:szCs w:val="22"/>
        </w:rPr>
        <w:t>. 2024;51(2):285–295.</w:t>
      </w:r>
      <w:r w:rsidR="00545464">
        <w:rPr>
          <w:rFonts w:ascii="Avenir Book" w:hAnsi="Avenir Book"/>
          <w:sz w:val="22"/>
          <w:szCs w:val="22"/>
        </w:rPr>
        <w:tab/>
      </w:r>
      <w:r w:rsidRPr="00811951">
        <w:rPr>
          <w:rFonts w:ascii="Avenir Book" w:hAnsi="Avenir Book"/>
          <w:sz w:val="22"/>
          <w:szCs w:val="22"/>
        </w:rPr>
        <w:t xml:space="preserve"> doi:10.1080/1040841X.2024.2344112</w:t>
      </w:r>
    </w:p>
    <w:p w14:paraId="32687005" w14:textId="2623671F"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World Health Organization. </w:t>
      </w:r>
      <w:r w:rsidRPr="00811951">
        <w:rPr>
          <w:rFonts w:ascii="Avenir Book" w:hAnsi="Avenir Book"/>
          <w:i/>
          <w:iCs/>
          <w:sz w:val="22"/>
          <w:szCs w:val="22"/>
        </w:rPr>
        <w:t>WHO Guidelines for Indoor Air Quality: Dampness and</w:t>
      </w:r>
      <w:r w:rsidR="006A696A">
        <w:rPr>
          <w:rFonts w:ascii="Avenir Book" w:hAnsi="Avenir Book"/>
          <w:i/>
          <w:iCs/>
          <w:sz w:val="22"/>
          <w:szCs w:val="22"/>
        </w:rPr>
        <w:t xml:space="preserve"> </w:t>
      </w:r>
      <w:r w:rsidR="00644422">
        <w:rPr>
          <w:rFonts w:ascii="Avenir Book" w:hAnsi="Avenir Book"/>
          <w:i/>
          <w:iCs/>
          <w:sz w:val="22"/>
          <w:szCs w:val="22"/>
        </w:rPr>
        <w:t>mold.</w:t>
      </w:r>
      <w:r w:rsidRPr="00811951">
        <w:rPr>
          <w:rFonts w:ascii="Avenir Book" w:eastAsiaTheme="majorEastAsia" w:hAnsi="Avenir Book"/>
          <w:sz w:val="22"/>
          <w:szCs w:val="22"/>
        </w:rPr>
        <w:t xml:space="preserve"> Copenhagen, Denmark: WHO Regional Office for Europe; 2009.</w:t>
      </w:r>
    </w:p>
    <w:p w14:paraId="6B9E2C9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Institute of Medicine (US) Committee on Damp Indoor Spaces and Health. </w:t>
      </w:r>
      <w:r w:rsidRPr="00811951">
        <w:rPr>
          <w:rFonts w:ascii="Avenir Book" w:hAnsi="Avenir Book"/>
          <w:i/>
          <w:iCs/>
          <w:sz w:val="22"/>
          <w:szCs w:val="22"/>
        </w:rPr>
        <w:t>Damp Indoor Spaces and Health</w:t>
      </w:r>
      <w:r w:rsidRPr="00811951">
        <w:rPr>
          <w:rFonts w:ascii="Avenir Book" w:eastAsiaTheme="majorEastAsia" w:hAnsi="Avenir Book"/>
          <w:sz w:val="22"/>
          <w:szCs w:val="22"/>
        </w:rPr>
        <w:t xml:space="preserve">. Washington, DC: National Academies Press; 2004. Chapter 6, Prevention and remediation of damp indoor environments. Accessed July 1, 2025. </w:t>
      </w:r>
      <w:hyperlink r:id="rId22" w:tgtFrame="_new" w:history="1">
        <w:r w:rsidRPr="00811951">
          <w:rPr>
            <w:rStyle w:val="Hyperlink"/>
            <w:rFonts w:ascii="Avenir Book" w:hAnsi="Avenir Book"/>
            <w:sz w:val="22"/>
            <w:szCs w:val="22"/>
          </w:rPr>
          <w:t>https://www.ncbi.nlm.nih.gov/books/NBK215647/</w:t>
        </w:r>
      </w:hyperlink>
    </w:p>
    <w:p w14:paraId="2E214162" w14:textId="6028818A"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inorHAnsi" w:hAnsi="Avenir Book"/>
          <w:kern w:val="2"/>
          <w:sz w:val="22"/>
          <w:szCs w:val="22"/>
          <w14:ligatures w14:val="standardContextual"/>
        </w:rPr>
        <w:t xml:space="preserve">American National Standards Institute (ANSI). </w:t>
      </w:r>
      <w:r w:rsidRPr="00811951">
        <w:rPr>
          <w:rFonts w:ascii="Avenir Book" w:eastAsiaTheme="minorHAnsi" w:hAnsi="Avenir Book"/>
          <w:i/>
          <w:iCs/>
          <w:kern w:val="2"/>
          <w:sz w:val="22"/>
          <w:szCs w:val="22"/>
          <w14:ligatures w14:val="standardContextual"/>
        </w:rPr>
        <w:t>ANSI Essential Requirements: Due Process Requirements for American National Standards</w:t>
      </w:r>
      <w:r w:rsidRPr="00811951">
        <w:rPr>
          <w:rFonts w:ascii="Avenir Book" w:eastAsiaTheme="minorHAnsi" w:hAnsi="Avenir Book"/>
          <w:kern w:val="2"/>
          <w:sz w:val="22"/>
          <w:szCs w:val="22"/>
          <w14:ligatures w14:val="standardContextual"/>
        </w:rPr>
        <w:t>. ANSI; 2024. Accessed July 1, 2025.</w:t>
      </w:r>
      <w:r w:rsidR="00545464">
        <w:rPr>
          <w:rFonts w:ascii="Avenir Book" w:eastAsiaTheme="minorHAnsi" w:hAnsi="Avenir Book"/>
          <w:kern w:val="2"/>
          <w:sz w:val="22"/>
          <w:szCs w:val="22"/>
          <w14:ligatures w14:val="standardContextual"/>
        </w:rPr>
        <w:tab/>
      </w:r>
      <w:r w:rsidRPr="00811951">
        <w:rPr>
          <w:rFonts w:ascii="Avenir Book" w:eastAsiaTheme="minorHAnsi" w:hAnsi="Avenir Book"/>
          <w:kern w:val="2"/>
          <w:sz w:val="22"/>
          <w:szCs w:val="22"/>
          <w14:ligatures w14:val="standardContextual"/>
        </w:rPr>
        <w:t xml:space="preserve"> </w:t>
      </w:r>
      <w:hyperlink r:id="rId23" w:tgtFrame="_new" w:history="1">
        <w:r w:rsidRPr="00811951">
          <w:rPr>
            <w:rFonts w:ascii="Avenir Book" w:eastAsiaTheme="minorHAnsi" w:hAnsi="Avenir Book"/>
            <w:color w:val="0000FF"/>
            <w:kern w:val="2"/>
            <w:sz w:val="22"/>
            <w:szCs w:val="22"/>
            <w:u w:val="single"/>
            <w14:ligatures w14:val="standardContextual"/>
          </w:rPr>
          <w:t>https://www.ansi.org/essentialrequirements</w:t>
        </w:r>
      </w:hyperlink>
    </w:p>
    <w:p w14:paraId="4CD62863"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US Government Accountability Office. </w:t>
      </w:r>
      <w:r w:rsidRPr="00811951">
        <w:rPr>
          <w:rFonts w:ascii="Avenir Book" w:hAnsi="Avenir Book"/>
          <w:i/>
          <w:iCs/>
          <w:sz w:val="22"/>
          <w:szCs w:val="22"/>
        </w:rPr>
        <w:t>Indoor Mold: Better Coordination of Research on Health Effects and More Consistent Guidance Would Improve Federal Efforts</w:t>
      </w:r>
      <w:r w:rsidRPr="00811951">
        <w:rPr>
          <w:rFonts w:ascii="Avenir Book" w:eastAsiaTheme="majorEastAsia" w:hAnsi="Avenir Book"/>
          <w:sz w:val="22"/>
          <w:szCs w:val="22"/>
        </w:rPr>
        <w:t>. GAO-08-980. Washington, DC: US Government Accountability Office; September 2008.</w:t>
      </w:r>
    </w:p>
    <w:p w14:paraId="4ED84B5C"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Shoemaker RC, Johnson K, Jim L, et al. Diagnostic process for chronic inflammatory response syndrome (CIRS): a consensus statement. </w:t>
      </w:r>
      <w:r w:rsidRPr="00811951">
        <w:rPr>
          <w:rFonts w:ascii="Avenir Book" w:hAnsi="Avenir Book"/>
          <w:i/>
          <w:iCs/>
          <w:sz w:val="22"/>
          <w:szCs w:val="22"/>
        </w:rPr>
        <w:t>Intern Med Rev</w:t>
      </w:r>
      <w:r w:rsidRPr="00811951">
        <w:rPr>
          <w:rFonts w:ascii="Avenir Book" w:eastAsiaTheme="majorEastAsia" w:hAnsi="Avenir Book"/>
          <w:sz w:val="22"/>
          <w:szCs w:val="22"/>
        </w:rPr>
        <w:t>. 2018;4(5):1–47.</w:t>
      </w:r>
    </w:p>
    <w:p w14:paraId="5ACFE9C1" w14:textId="48BECFAF"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Shoemaker RC, Lark D. HERTSMI-2 and ERMI: correlating human health risk with mold-specific </w:t>
      </w:r>
      <w:r w:rsidR="00906F35">
        <w:rPr>
          <w:rFonts w:ascii="Avenir Book" w:eastAsiaTheme="majorEastAsia" w:hAnsi="Avenir Book"/>
          <w:sz w:val="22"/>
          <w:szCs w:val="22"/>
        </w:rPr>
        <w:t>qPCR</w:t>
      </w:r>
      <w:r w:rsidRPr="00811951">
        <w:rPr>
          <w:rFonts w:ascii="Avenir Book" w:eastAsiaTheme="majorEastAsia" w:hAnsi="Avenir Book"/>
          <w:sz w:val="22"/>
          <w:szCs w:val="22"/>
        </w:rPr>
        <w:t xml:space="preserve"> in water-damaged buildings. Presented at: 14th International Conference on Indoor Air Quality and Climate; May 2016; Ghent, Belgium.</w:t>
      </w:r>
    </w:p>
    <w:p w14:paraId="75476913" w14:textId="714C408E"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Shoemaker RC, House DE. Sick building syndrome in water-damaged buildings: generalization of the chronic biotoxin-associated illness paradigm to indoor toxigenic fungi exposure. </w:t>
      </w:r>
      <w:r w:rsidRPr="00811951">
        <w:rPr>
          <w:rStyle w:val="Emphasis"/>
          <w:rFonts w:ascii="Avenir Book" w:eastAsiaTheme="majorEastAsia" w:hAnsi="Avenir Book"/>
          <w:sz w:val="22"/>
          <w:szCs w:val="22"/>
        </w:rPr>
        <w:t>Neurotoxicol Teratol</w:t>
      </w:r>
      <w:r w:rsidRPr="00811951">
        <w:rPr>
          <w:rFonts w:ascii="Avenir Book" w:hAnsi="Avenir Book"/>
          <w:sz w:val="22"/>
          <w:szCs w:val="22"/>
        </w:rPr>
        <w:t xml:space="preserve">. 2006;28(5):573–588. </w:t>
      </w:r>
      <w:r w:rsidR="00644422" w:rsidRPr="00811951">
        <w:rPr>
          <w:rFonts w:ascii="Avenir Book" w:hAnsi="Avenir Book"/>
          <w:sz w:val="22"/>
          <w:szCs w:val="22"/>
        </w:rPr>
        <w:t>doi: 10.1016/j.ntt</w:t>
      </w:r>
      <w:r w:rsidRPr="00811951">
        <w:rPr>
          <w:rFonts w:ascii="Avenir Book" w:hAnsi="Avenir Book"/>
          <w:sz w:val="22"/>
          <w:szCs w:val="22"/>
        </w:rPr>
        <w:t>.2006.07.007</w:t>
      </w:r>
    </w:p>
    <w:p w14:paraId="4F97078C"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Shoemaker RC, Maizel M. Exposure to water-damaged buildings causes a readily identifiable chronic inflammatory response syndrome that is successfully treated by a sequential intervention protocol. Presented at: International Mycological Congress 9; 2010; Edinburgh, Scotland.</w:t>
      </w:r>
    </w:p>
    <w:p w14:paraId="70095342"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hAnsi="Avenir Book"/>
          <w:sz w:val="22"/>
          <w:szCs w:val="22"/>
        </w:rPr>
        <w:t xml:space="preserve">Flannigan B, Samson RA, Miller JD, eds. </w:t>
      </w:r>
      <w:r w:rsidRPr="00811951">
        <w:rPr>
          <w:rStyle w:val="Emphasis"/>
          <w:rFonts w:ascii="Avenir Book" w:hAnsi="Avenir Book"/>
          <w:sz w:val="22"/>
          <w:szCs w:val="22"/>
        </w:rPr>
        <w:t>Microorganisms in Home and Indoor Work Environments: Diversity, Health Impacts, Investigation and Control</w:t>
      </w:r>
      <w:r w:rsidRPr="00811951">
        <w:rPr>
          <w:rFonts w:ascii="Avenir Book" w:hAnsi="Avenir Book"/>
          <w:sz w:val="22"/>
          <w:szCs w:val="22"/>
        </w:rPr>
        <w:t>. London, UK: Taylor &amp; Francis; 2001.</w:t>
      </w:r>
    </w:p>
    <w:p w14:paraId="30CBFD2B"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Banta JC. </w:t>
      </w:r>
      <w:r w:rsidRPr="00811951">
        <w:rPr>
          <w:rFonts w:ascii="Avenir Book" w:hAnsi="Avenir Book"/>
          <w:i/>
          <w:iCs/>
          <w:sz w:val="22"/>
          <w:szCs w:val="22"/>
        </w:rPr>
        <w:t>Mold Controlled: A Guide to Finding, Fixing, Preventing, and Getting Help with Mold Problems in Homes</w:t>
      </w:r>
      <w:r w:rsidRPr="00811951">
        <w:rPr>
          <w:rFonts w:ascii="Avenir Book" w:eastAsiaTheme="majorEastAsia" w:hAnsi="Avenir Book"/>
          <w:sz w:val="22"/>
          <w:szCs w:val="22"/>
        </w:rPr>
        <w:t>. John C. Banta Publishing; 2025.</w:t>
      </w:r>
    </w:p>
    <w:p w14:paraId="1CBC2D92"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CIRSx Institute. </w:t>
      </w:r>
      <w:r w:rsidRPr="00811951">
        <w:rPr>
          <w:rFonts w:ascii="Avenir Book" w:hAnsi="Avenir Book"/>
          <w:i/>
          <w:iCs/>
          <w:sz w:val="22"/>
          <w:szCs w:val="22"/>
        </w:rPr>
        <w:t>Medically Important Remediation for Professionals (MIR 101)</w:t>
      </w:r>
      <w:r w:rsidRPr="00811951">
        <w:rPr>
          <w:rFonts w:ascii="Avenir Book" w:eastAsiaTheme="majorEastAsia" w:hAnsi="Avenir Book"/>
          <w:sz w:val="22"/>
          <w:szCs w:val="22"/>
        </w:rPr>
        <w:t xml:space="preserve"> [online course]. 14 CE hours. CIRSx Institute; 2024. Accessed July 1, 2025. </w:t>
      </w:r>
      <w:hyperlink r:id="rId24" w:tgtFrame="_new" w:history="1">
        <w:r w:rsidRPr="00811951">
          <w:rPr>
            <w:rStyle w:val="Hyperlink"/>
            <w:rFonts w:ascii="Avenir Book" w:hAnsi="Avenir Book"/>
            <w:sz w:val="22"/>
            <w:szCs w:val="22"/>
          </w:rPr>
          <w:t>https://institute.cirsx.com/course/mir101</w:t>
        </w:r>
      </w:hyperlink>
    </w:p>
    <w:p w14:paraId="7A2CF06F"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Halverson M, Christian J. Managing the drivers of airflow and water vapor transit in existing buildings. </w:t>
      </w:r>
      <w:r w:rsidRPr="00811951">
        <w:rPr>
          <w:rStyle w:val="Emphasis"/>
          <w:rFonts w:ascii="Avenir Book" w:hAnsi="Avenir Book"/>
          <w:sz w:val="22"/>
          <w:szCs w:val="22"/>
        </w:rPr>
        <w:t>Building America Technical Update</w:t>
      </w:r>
      <w:r w:rsidRPr="00811951">
        <w:rPr>
          <w:rFonts w:ascii="Avenir Book" w:hAnsi="Avenir Book"/>
          <w:sz w:val="22"/>
          <w:szCs w:val="22"/>
        </w:rPr>
        <w:t>. US Department of Energy; April 2011.</w:t>
      </w:r>
    </w:p>
    <w:p w14:paraId="2910CD95"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US Department of Housing and Urban Development. </w:t>
      </w:r>
      <w:r w:rsidRPr="00811951">
        <w:rPr>
          <w:rStyle w:val="Emphasis"/>
          <w:rFonts w:ascii="Avenir Book" w:hAnsi="Avenir Book"/>
          <w:sz w:val="22"/>
          <w:szCs w:val="22"/>
        </w:rPr>
        <w:t>Minimizing Moisture Problems in Manufactured Homes: Response of Interior Air Pressures to Operating Conditions</w:t>
      </w:r>
      <w:r w:rsidRPr="00811951">
        <w:rPr>
          <w:rFonts w:ascii="Avenir Book" w:hAnsi="Avenir Book"/>
          <w:sz w:val="22"/>
          <w:szCs w:val="22"/>
        </w:rPr>
        <w:t>. HUD; June 2003.</w:t>
      </w:r>
    </w:p>
    <w:p w14:paraId="04AB9F54"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World Health Organization. </w:t>
      </w:r>
      <w:r w:rsidRPr="00811951">
        <w:rPr>
          <w:rStyle w:val="Emphasis"/>
          <w:rFonts w:ascii="Avenir Book" w:hAnsi="Avenir Book"/>
          <w:sz w:val="22"/>
          <w:szCs w:val="22"/>
        </w:rPr>
        <w:t>Moisture Control Guidance for Building Design, Construction, and Maintenance</w:t>
      </w:r>
      <w:r w:rsidRPr="00811951">
        <w:rPr>
          <w:rFonts w:ascii="Avenir Book" w:hAnsi="Avenir Book"/>
          <w:sz w:val="22"/>
          <w:szCs w:val="22"/>
        </w:rPr>
        <w:t>. Adapted by US Environmental Protection Agency; December 2013.</w:t>
      </w:r>
    </w:p>
    <w:p w14:paraId="470C16F5"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Schwartz L, Schrantz M, Weatherman G, Charlton J, Shoemaker R. </w:t>
      </w:r>
      <w:r w:rsidRPr="00811951">
        <w:rPr>
          <w:rFonts w:ascii="Avenir Book" w:hAnsi="Avenir Book"/>
          <w:i/>
          <w:iCs/>
          <w:sz w:val="22"/>
          <w:szCs w:val="22"/>
        </w:rPr>
        <w:t>Surviving Mold Consensus Statement: Medically Sound Investigation and Remediation of Water-Damaged Buildings in Cases of CIRS-WDB</w:t>
      </w:r>
      <w:r w:rsidRPr="00811951">
        <w:rPr>
          <w:rFonts w:ascii="Avenir Book" w:eastAsiaTheme="majorEastAsia" w:hAnsi="Avenir Book"/>
          <w:sz w:val="22"/>
          <w:szCs w:val="22"/>
        </w:rPr>
        <w:t xml:space="preserve">. SurvivingMold.com; 2016. Accessed July 1, 2025. </w:t>
      </w:r>
      <w:hyperlink r:id="rId25" w:tgtFrame="_new" w:history="1">
        <w:r w:rsidRPr="00811951">
          <w:rPr>
            <w:rStyle w:val="Hyperlink"/>
            <w:rFonts w:ascii="Avenir Book" w:hAnsi="Avenir Book"/>
            <w:sz w:val="22"/>
            <w:szCs w:val="22"/>
          </w:rPr>
          <w:t>https://www.survivingmold.com/docs/IEP_CONSENSUS_04_12_16.pdf</w:t>
        </w:r>
      </w:hyperlink>
    </w:p>
    <w:p w14:paraId="35D98CBF"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CIRSx Institute. </w:t>
      </w:r>
      <w:r w:rsidRPr="00811951">
        <w:rPr>
          <w:rStyle w:val="Emphasis"/>
          <w:rFonts w:ascii="Avenir Book" w:hAnsi="Avenir Book"/>
          <w:sz w:val="22"/>
          <w:szCs w:val="22"/>
        </w:rPr>
        <w:t>Medically Important Assessment for Professionals (MIA 101)</w:t>
      </w:r>
      <w:r w:rsidRPr="00811951">
        <w:rPr>
          <w:rFonts w:ascii="Avenir Book" w:hAnsi="Avenir Book"/>
          <w:sz w:val="22"/>
          <w:szCs w:val="22"/>
        </w:rPr>
        <w:t xml:space="preserve"> [online course]. CIRSx Institute; 2024. Accessed July 1, 2025. </w:t>
      </w:r>
      <w:hyperlink r:id="rId26" w:tgtFrame="_new" w:history="1">
        <w:r w:rsidRPr="00811951">
          <w:rPr>
            <w:rStyle w:val="Hyperlink"/>
            <w:rFonts w:ascii="Avenir Book" w:eastAsiaTheme="majorEastAsia" w:hAnsi="Avenir Book"/>
            <w:sz w:val="22"/>
            <w:szCs w:val="22"/>
          </w:rPr>
          <w:t>https://institute.cirsx.com/payment?product_id=mia101</w:t>
        </w:r>
      </w:hyperlink>
    </w:p>
    <w:p w14:paraId="75F949C2"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CIRSx Institute. </w:t>
      </w:r>
      <w:r w:rsidRPr="00811951">
        <w:rPr>
          <w:rStyle w:val="Emphasis"/>
          <w:rFonts w:ascii="Avenir Book" w:hAnsi="Avenir Book"/>
          <w:sz w:val="22"/>
          <w:szCs w:val="22"/>
        </w:rPr>
        <w:t>Medically Important Assessment for Consultants (MIA 102)</w:t>
      </w:r>
      <w:r w:rsidRPr="00811951">
        <w:rPr>
          <w:rFonts w:ascii="Avenir Book" w:hAnsi="Avenir Book"/>
          <w:sz w:val="22"/>
          <w:szCs w:val="22"/>
        </w:rPr>
        <w:t xml:space="preserve"> [online course]. CIRSx Institute; 2024. Accessed July 1, 2025. </w:t>
      </w:r>
      <w:hyperlink r:id="rId27" w:tgtFrame="_new" w:history="1">
        <w:r w:rsidRPr="00811951">
          <w:rPr>
            <w:rStyle w:val="Hyperlink"/>
            <w:rFonts w:ascii="Avenir Book" w:eastAsiaTheme="majorEastAsia" w:hAnsi="Avenir Book"/>
            <w:sz w:val="22"/>
            <w:szCs w:val="22"/>
          </w:rPr>
          <w:t>https://institute.cirsx.com/payment?product_id=mia102</w:t>
        </w:r>
      </w:hyperlink>
    </w:p>
    <w:p w14:paraId="778F9787" w14:textId="4FC15198" w:rsidR="00A36B72" w:rsidRPr="00811951" w:rsidRDefault="00A36B72" w:rsidP="00A81B11">
      <w:pPr>
        <w:pStyle w:val="ListParagraph"/>
        <w:numPr>
          <w:ilvl w:val="0"/>
          <w:numId w:val="10"/>
        </w:numPr>
        <w:ind w:right="-5"/>
        <w:jc w:val="both"/>
        <w:rPr>
          <w:rFonts w:ascii="Avenir Book" w:eastAsia="Times New Roman" w:hAnsi="Avenir Book" w:cs="Times New Roman"/>
          <w:sz w:val="22"/>
          <w:szCs w:val="22"/>
        </w:rPr>
      </w:pPr>
      <w:r w:rsidRPr="00811951">
        <w:rPr>
          <w:rFonts w:ascii="Avenir Book" w:eastAsia="Times New Roman" w:hAnsi="Avenir Book" w:cs="Times New Roman"/>
          <w:sz w:val="22"/>
          <w:szCs w:val="22"/>
        </w:rPr>
        <w:t xml:space="preserve">Lstiburek JW, Eng P. Understanding vapor barriers. </w:t>
      </w:r>
      <w:r w:rsidRPr="00811951">
        <w:rPr>
          <w:rFonts w:ascii="Avenir Book" w:eastAsia="Times New Roman" w:hAnsi="Avenir Book" w:cs="Times New Roman"/>
          <w:i/>
          <w:iCs/>
          <w:sz w:val="22"/>
          <w:szCs w:val="22"/>
        </w:rPr>
        <w:t>ASHRAE J</w:t>
      </w:r>
      <w:r w:rsidRPr="00811951">
        <w:rPr>
          <w:rFonts w:ascii="Avenir Book" w:eastAsia="Times New Roman" w:hAnsi="Avenir Book" w:cs="Times New Roman"/>
          <w:sz w:val="22"/>
          <w:szCs w:val="22"/>
        </w:rPr>
        <w:t xml:space="preserve">. </w:t>
      </w:r>
      <w:r w:rsidR="00644422" w:rsidRPr="00811951">
        <w:rPr>
          <w:rFonts w:ascii="Avenir Book" w:eastAsia="Times New Roman" w:hAnsi="Avenir Book" w:cs="Times New Roman"/>
          <w:sz w:val="22"/>
          <w:szCs w:val="22"/>
        </w:rPr>
        <w:t>2004; 46:40</w:t>
      </w:r>
      <w:r w:rsidRPr="00811951">
        <w:rPr>
          <w:rFonts w:ascii="Avenir Book" w:eastAsia="Times New Roman" w:hAnsi="Avenir Book" w:cs="Times New Roman"/>
          <w:sz w:val="22"/>
          <w:szCs w:val="22"/>
        </w:rPr>
        <w:t>–51.</w:t>
      </w:r>
    </w:p>
    <w:p w14:paraId="5AB50037" w14:textId="77777777" w:rsidR="00A36B72" w:rsidRPr="00811951" w:rsidRDefault="00A36B72" w:rsidP="00A81B11">
      <w:pPr>
        <w:pStyle w:val="ListParagraph"/>
        <w:numPr>
          <w:ilvl w:val="0"/>
          <w:numId w:val="10"/>
        </w:numPr>
        <w:ind w:right="-5"/>
        <w:jc w:val="both"/>
        <w:rPr>
          <w:rFonts w:ascii="Avenir Book" w:eastAsia="Times New Roman" w:hAnsi="Avenir Book" w:cs="Times New Roman"/>
          <w:sz w:val="22"/>
          <w:szCs w:val="22"/>
        </w:rPr>
      </w:pPr>
      <w:r w:rsidRPr="00811951">
        <w:rPr>
          <w:rFonts w:ascii="Avenir Book" w:eastAsia="Times New Roman" w:hAnsi="Avenir Book" w:cs="Times New Roman"/>
          <w:sz w:val="22"/>
          <w:szCs w:val="22"/>
        </w:rPr>
        <w:t xml:space="preserve">Lstiburek JW. </w:t>
      </w:r>
      <w:r w:rsidRPr="00811951">
        <w:rPr>
          <w:rFonts w:ascii="Avenir Book" w:eastAsia="Times New Roman" w:hAnsi="Avenir Book" w:cs="Times New Roman"/>
          <w:i/>
          <w:iCs/>
          <w:sz w:val="22"/>
          <w:szCs w:val="22"/>
        </w:rPr>
        <w:t>Toward an Understanding and Prediction of Air Flow in Buildings</w:t>
      </w:r>
      <w:r w:rsidRPr="00811951">
        <w:rPr>
          <w:rFonts w:ascii="Avenir Book" w:eastAsia="Times New Roman" w:hAnsi="Avenir Book" w:cs="Times New Roman"/>
          <w:sz w:val="22"/>
          <w:szCs w:val="22"/>
        </w:rPr>
        <w:t xml:space="preserve"> [doctoral dissertation]. 2000.</w:t>
      </w:r>
    </w:p>
    <w:p w14:paraId="6CD626A7" w14:textId="77777777" w:rsidR="00A36B72" w:rsidRPr="00811951" w:rsidRDefault="00A36B72" w:rsidP="00A81B11">
      <w:pPr>
        <w:pStyle w:val="ListParagraph"/>
        <w:numPr>
          <w:ilvl w:val="0"/>
          <w:numId w:val="10"/>
        </w:numPr>
        <w:ind w:right="-5"/>
        <w:jc w:val="both"/>
        <w:rPr>
          <w:rFonts w:ascii="Avenir Book" w:eastAsia="Times New Roman" w:hAnsi="Avenir Book" w:cs="Times New Roman"/>
          <w:sz w:val="22"/>
          <w:szCs w:val="22"/>
        </w:rPr>
      </w:pPr>
      <w:r w:rsidRPr="00811951">
        <w:rPr>
          <w:rFonts w:ascii="Avenir Book" w:eastAsia="Times New Roman" w:hAnsi="Avenir Book" w:cs="Times New Roman"/>
          <w:sz w:val="22"/>
          <w:szCs w:val="22"/>
        </w:rPr>
        <w:t xml:space="preserve">Lstiburek J, Pressnail K, Timusk J. Air pressure and building envelopes. </w:t>
      </w:r>
      <w:r w:rsidRPr="00811951">
        <w:rPr>
          <w:rFonts w:ascii="Avenir Book" w:eastAsia="Times New Roman" w:hAnsi="Avenir Book" w:cs="Times New Roman"/>
          <w:i/>
          <w:iCs/>
          <w:sz w:val="22"/>
          <w:szCs w:val="22"/>
        </w:rPr>
        <w:t>J Therm Envel Build Sci</w:t>
      </w:r>
      <w:r w:rsidRPr="00811951">
        <w:rPr>
          <w:rFonts w:ascii="Avenir Book" w:eastAsia="Times New Roman" w:hAnsi="Avenir Book" w:cs="Times New Roman"/>
          <w:sz w:val="22"/>
          <w:szCs w:val="22"/>
        </w:rPr>
        <w:t>. 2002;26(1):53–91. doi:10.1177/1097196302026001570</w:t>
      </w:r>
    </w:p>
    <w:p w14:paraId="6E95CB5A" w14:textId="77777777" w:rsidR="00A36B72" w:rsidRPr="00811951" w:rsidRDefault="00A36B72" w:rsidP="00A81B11">
      <w:pPr>
        <w:pStyle w:val="ListParagraph"/>
        <w:numPr>
          <w:ilvl w:val="0"/>
          <w:numId w:val="10"/>
        </w:numPr>
        <w:ind w:right="-5"/>
        <w:jc w:val="both"/>
        <w:rPr>
          <w:rFonts w:ascii="Avenir Book" w:eastAsia="Times New Roman" w:hAnsi="Avenir Book" w:cs="Times New Roman"/>
          <w:sz w:val="22"/>
          <w:szCs w:val="22"/>
        </w:rPr>
      </w:pPr>
      <w:r w:rsidRPr="00811951">
        <w:rPr>
          <w:rFonts w:ascii="Avenir Book" w:eastAsia="Times New Roman" w:hAnsi="Avenir Book" w:cs="Times New Roman"/>
          <w:sz w:val="22"/>
          <w:szCs w:val="22"/>
        </w:rPr>
        <w:t xml:space="preserve">Lstiburek J. Moisture control for buildings. </w:t>
      </w:r>
      <w:r w:rsidRPr="00811951">
        <w:rPr>
          <w:rFonts w:ascii="Avenir Book" w:eastAsia="Times New Roman" w:hAnsi="Avenir Book" w:cs="Times New Roman"/>
          <w:i/>
          <w:iCs/>
          <w:sz w:val="22"/>
          <w:szCs w:val="22"/>
        </w:rPr>
        <w:t>ASHRAE J</w:t>
      </w:r>
      <w:r w:rsidRPr="00811951">
        <w:rPr>
          <w:rFonts w:ascii="Avenir Book" w:eastAsia="Times New Roman" w:hAnsi="Avenir Book" w:cs="Times New Roman"/>
          <w:sz w:val="22"/>
          <w:szCs w:val="22"/>
        </w:rPr>
        <w:t>. 2002;44(2):36–41.</w:t>
      </w:r>
    </w:p>
    <w:p w14:paraId="03A7311D"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Lstiburek JW. </w:t>
      </w:r>
      <w:r w:rsidRPr="00811951">
        <w:rPr>
          <w:rFonts w:ascii="Avenir Book" w:hAnsi="Avenir Book"/>
          <w:i/>
          <w:iCs/>
          <w:sz w:val="22"/>
          <w:szCs w:val="22"/>
        </w:rPr>
        <w:t>The Pressure Response of Buildings</w:t>
      </w:r>
      <w:r w:rsidRPr="00811951">
        <w:rPr>
          <w:rFonts w:ascii="Avenir Book" w:eastAsiaTheme="majorEastAsia" w:hAnsi="Avenir Book"/>
          <w:sz w:val="22"/>
          <w:szCs w:val="22"/>
        </w:rPr>
        <w:t>. 1998.</w:t>
      </w:r>
    </w:p>
    <w:p w14:paraId="4013CAED"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Cox DJ, Seitz RW, Anderson RA. Mold growth and carbon dioxide production during storage of moist grain. </w:t>
      </w:r>
      <w:r w:rsidRPr="00811951">
        <w:rPr>
          <w:rStyle w:val="Emphasis"/>
          <w:rFonts w:ascii="Avenir Book" w:hAnsi="Avenir Book"/>
          <w:sz w:val="22"/>
          <w:szCs w:val="22"/>
        </w:rPr>
        <w:t>Cereal Chem</w:t>
      </w:r>
      <w:r w:rsidRPr="00811951">
        <w:rPr>
          <w:rFonts w:ascii="Avenir Book" w:hAnsi="Avenir Book"/>
          <w:sz w:val="22"/>
          <w:szCs w:val="22"/>
        </w:rPr>
        <w:t>. 1985;62(2):137–142.</w:t>
      </w:r>
    </w:p>
    <w:p w14:paraId="525CB213" w14:textId="76034EDF"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Smith J, Rhoades M, Taylor C, et al. Assessment of microbial activity by CO</w:t>
      </w:r>
      <w:r w:rsidRPr="00811951">
        <w:rPr>
          <w:rFonts w:ascii="Cambria Math" w:hAnsi="Cambria Math" w:cs="Cambria Math"/>
          <w:sz w:val="22"/>
          <w:szCs w:val="22"/>
        </w:rPr>
        <w:t>₂</w:t>
      </w:r>
      <w:r w:rsidRPr="00811951">
        <w:rPr>
          <w:rFonts w:ascii="Avenir Book" w:hAnsi="Avenir Book"/>
          <w:sz w:val="22"/>
          <w:szCs w:val="22"/>
        </w:rPr>
        <w:t xml:space="preserve"> production during heating-oil storage. </w:t>
      </w:r>
      <w:r w:rsidRPr="00811951">
        <w:rPr>
          <w:rStyle w:val="Emphasis"/>
          <w:rFonts w:ascii="Avenir Book" w:hAnsi="Avenir Book"/>
          <w:sz w:val="22"/>
          <w:szCs w:val="22"/>
        </w:rPr>
        <w:t>Appl Environ Microbiol</w:t>
      </w:r>
      <w:r w:rsidRPr="00811951">
        <w:rPr>
          <w:rFonts w:ascii="Avenir Book" w:hAnsi="Avenir Book"/>
          <w:sz w:val="22"/>
          <w:szCs w:val="22"/>
        </w:rPr>
        <w:t xml:space="preserve">. </w:t>
      </w:r>
      <w:r w:rsidR="00644422" w:rsidRPr="00811951">
        <w:rPr>
          <w:rFonts w:ascii="Avenir Book" w:hAnsi="Avenir Book"/>
          <w:sz w:val="22"/>
          <w:szCs w:val="22"/>
        </w:rPr>
        <w:t>2023; e</w:t>
      </w:r>
      <w:r w:rsidRPr="00811951">
        <w:rPr>
          <w:rFonts w:ascii="Avenir Book" w:hAnsi="Avenir Book"/>
          <w:sz w:val="22"/>
          <w:szCs w:val="22"/>
        </w:rPr>
        <w:t>00934-23. doi:10.1128/aem.00934-23</w:t>
      </w:r>
    </w:p>
    <w:p w14:paraId="492863C9"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lastRenderedPageBreak/>
        <w:t>Koruba D, Piotrowski JZ. Effect of high CO</w:t>
      </w:r>
      <w:r w:rsidRPr="00811951">
        <w:rPr>
          <w:rFonts w:ascii="Cambria Math" w:hAnsi="Cambria Math" w:cs="Cambria Math"/>
          <w:sz w:val="22"/>
          <w:szCs w:val="22"/>
        </w:rPr>
        <w:t>₂</w:t>
      </w:r>
      <w:r w:rsidRPr="00811951">
        <w:rPr>
          <w:rFonts w:ascii="Avenir Book" w:hAnsi="Avenir Book"/>
          <w:sz w:val="22"/>
          <w:szCs w:val="22"/>
        </w:rPr>
        <w:t xml:space="preserve"> concentrations on the molds' growth and morphology present in the indoor air. </w:t>
      </w:r>
      <w:r w:rsidRPr="00811951">
        <w:rPr>
          <w:rStyle w:val="Emphasis"/>
          <w:rFonts w:ascii="Avenir Book" w:hAnsi="Avenir Book"/>
          <w:sz w:val="22"/>
          <w:szCs w:val="22"/>
        </w:rPr>
        <w:t>Proc Kielce Univ Technol Fac Civil Environ Eng Sect</w:t>
      </w:r>
      <w:r w:rsidRPr="00811951">
        <w:rPr>
          <w:rFonts w:ascii="Avenir Book" w:hAnsi="Avenir Book"/>
          <w:sz w:val="22"/>
          <w:szCs w:val="22"/>
        </w:rPr>
        <w:t>. 2021.</w:t>
      </w:r>
    </w:p>
    <w:p w14:paraId="2D88EA8A"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United States Environmental Protection Agency. Mold course chapter 1: introduction to molds. EPA. December 20, 2024. Accessed June 20, 2025. </w:t>
      </w:r>
      <w:hyperlink r:id="rId28" w:tgtFrame="_new" w:history="1">
        <w:r w:rsidRPr="00811951">
          <w:rPr>
            <w:rStyle w:val="Hyperlink"/>
            <w:rFonts w:ascii="Avenir Book" w:hAnsi="Avenir Book"/>
            <w:sz w:val="22"/>
            <w:szCs w:val="22"/>
          </w:rPr>
          <w:t>https://www.epa.gov/mold/mold-course-chapter-1</w:t>
        </w:r>
      </w:hyperlink>
    </w:p>
    <w:p w14:paraId="789A85C6"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Centers for Disease Control and Prevention. Mold prevention strategies and possible health effects in the aftermath of hurricanes and major floods. </w:t>
      </w:r>
      <w:r w:rsidRPr="00811951">
        <w:rPr>
          <w:rStyle w:val="Emphasis"/>
          <w:rFonts w:ascii="Avenir Book" w:eastAsiaTheme="majorEastAsia" w:hAnsi="Avenir Book"/>
          <w:sz w:val="22"/>
          <w:szCs w:val="22"/>
        </w:rPr>
        <w:t>MMWR Recomm Rep</w:t>
      </w:r>
      <w:r w:rsidRPr="00811951">
        <w:rPr>
          <w:rFonts w:ascii="Avenir Book" w:hAnsi="Avenir Book"/>
          <w:sz w:val="22"/>
          <w:szCs w:val="22"/>
        </w:rPr>
        <w:t xml:space="preserve">. 2006;55(RR-8):1–27. Accessed June 20, 2025. </w:t>
      </w:r>
      <w:hyperlink r:id="rId29" w:tgtFrame="_new" w:history="1">
        <w:r w:rsidRPr="00811951">
          <w:rPr>
            <w:rStyle w:val="Hyperlink"/>
            <w:rFonts w:ascii="Avenir Book" w:hAnsi="Avenir Book"/>
            <w:sz w:val="22"/>
            <w:szCs w:val="22"/>
          </w:rPr>
          <w:t>https://www.cdc.gov/mmwr/preview/mmwrhtml/rr5508a1.htm</w:t>
        </w:r>
      </w:hyperlink>
    </w:p>
    <w:p w14:paraId="5B0AEE5F" w14:textId="684BF0E8"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Cho SH, Seo SC, Schmechel D, Grinshpun SA, Reponen T. Aerodynamic characteristics and respiratory deposition of fungal fragments. </w:t>
      </w:r>
      <w:r w:rsidRPr="00811951">
        <w:rPr>
          <w:rStyle w:val="Emphasis"/>
          <w:rFonts w:ascii="Avenir Book" w:hAnsi="Avenir Book"/>
          <w:sz w:val="22"/>
          <w:szCs w:val="22"/>
        </w:rPr>
        <w:t>Atmos Environ</w:t>
      </w:r>
      <w:r w:rsidRPr="00811951">
        <w:rPr>
          <w:rFonts w:ascii="Avenir Book" w:hAnsi="Avenir Book"/>
          <w:sz w:val="22"/>
          <w:szCs w:val="22"/>
        </w:rPr>
        <w:t xml:space="preserve">. 2005;39(30):5454–5465. </w:t>
      </w:r>
      <w:r w:rsidR="00644422" w:rsidRPr="00811951">
        <w:rPr>
          <w:rFonts w:ascii="Avenir Book" w:hAnsi="Avenir Book"/>
          <w:sz w:val="22"/>
          <w:szCs w:val="22"/>
        </w:rPr>
        <w:t>doi: 10.1016/j.atmosenv</w:t>
      </w:r>
      <w:r w:rsidRPr="00811951">
        <w:rPr>
          <w:rFonts w:ascii="Avenir Book" w:hAnsi="Avenir Book"/>
          <w:sz w:val="22"/>
          <w:szCs w:val="22"/>
        </w:rPr>
        <w:t>.2005.05.029</w:t>
      </w:r>
    </w:p>
    <w:p w14:paraId="4D678CA6" w14:textId="4A18EA44"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BC63BC">
        <w:rPr>
          <w:rFonts w:ascii="Avenir Book" w:hAnsi="Avenir Book"/>
          <w:sz w:val="22"/>
          <w:szCs w:val="22"/>
          <w:lang w:val="en-US"/>
        </w:rPr>
        <w:t xml:space="preserve">Reponen T, Seo SC, Grimsley F, Lee T, Crawford C, Grinshpun SA. </w:t>
      </w:r>
      <w:r w:rsidRPr="00811951">
        <w:rPr>
          <w:rFonts w:ascii="Avenir Book" w:hAnsi="Avenir Book"/>
          <w:sz w:val="22"/>
          <w:szCs w:val="22"/>
        </w:rPr>
        <w:t xml:space="preserve">Fungal fragments in moldy houses: a field study in homes in New Orleans and southern Ohio. </w:t>
      </w:r>
      <w:r w:rsidRPr="00811951">
        <w:rPr>
          <w:rStyle w:val="Emphasis"/>
          <w:rFonts w:ascii="Avenir Book" w:hAnsi="Avenir Book"/>
          <w:sz w:val="22"/>
          <w:szCs w:val="22"/>
        </w:rPr>
        <w:t>Atmos Environ</w:t>
      </w:r>
      <w:r w:rsidRPr="00811951">
        <w:rPr>
          <w:rFonts w:ascii="Avenir Book" w:hAnsi="Avenir Book"/>
          <w:sz w:val="22"/>
          <w:szCs w:val="22"/>
        </w:rPr>
        <w:t xml:space="preserve">. 2007;41(37):8140–8149. </w:t>
      </w:r>
      <w:r w:rsidR="00644422" w:rsidRPr="00811951">
        <w:rPr>
          <w:rFonts w:ascii="Avenir Book" w:hAnsi="Avenir Book"/>
          <w:sz w:val="22"/>
          <w:szCs w:val="22"/>
        </w:rPr>
        <w:t>doi: 10.1016/j.atmosenv</w:t>
      </w:r>
      <w:r w:rsidRPr="00811951">
        <w:rPr>
          <w:rFonts w:ascii="Avenir Book" w:hAnsi="Avenir Book"/>
          <w:sz w:val="22"/>
          <w:szCs w:val="22"/>
        </w:rPr>
        <w:t>.2007.06.004</w:t>
      </w:r>
    </w:p>
    <w:p w14:paraId="188BA9DA"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Hooke R. </w:t>
      </w:r>
      <w:r w:rsidRPr="00811951">
        <w:rPr>
          <w:rFonts w:ascii="Avenir Book" w:hAnsi="Avenir Book"/>
          <w:i/>
          <w:iCs/>
          <w:sz w:val="22"/>
          <w:szCs w:val="22"/>
        </w:rPr>
        <w:t>Micrographia: or Some Physiological Descriptions of Minute Bodies Made by Magnifying Glasses</w:t>
      </w:r>
      <w:r w:rsidRPr="00811951">
        <w:rPr>
          <w:rFonts w:ascii="Avenir Book" w:eastAsiaTheme="majorEastAsia" w:hAnsi="Avenir Book"/>
          <w:sz w:val="22"/>
          <w:szCs w:val="22"/>
        </w:rPr>
        <w:t>. London, UK: J. Martyn and J. Allestry; 1665.</w:t>
      </w:r>
    </w:p>
    <w:p w14:paraId="40FFD91A" w14:textId="6AC83D85"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Black WD. A comparison of several media types and basic techniques used to assess outdoor airborne fungi in Melbourne, Australia. </w:t>
      </w:r>
      <w:r w:rsidRPr="00811951">
        <w:rPr>
          <w:rStyle w:val="Emphasis"/>
          <w:rFonts w:ascii="Avenir Book" w:hAnsi="Avenir Book"/>
          <w:sz w:val="22"/>
          <w:szCs w:val="22"/>
        </w:rPr>
        <w:t>PLoS One</w:t>
      </w:r>
      <w:r w:rsidRPr="00811951">
        <w:rPr>
          <w:rFonts w:ascii="Avenir Book" w:hAnsi="Avenir Book"/>
          <w:sz w:val="22"/>
          <w:szCs w:val="22"/>
        </w:rPr>
        <w:t>. 2020;15(12</w:t>
      </w:r>
      <w:r w:rsidR="00644422" w:rsidRPr="00811951">
        <w:rPr>
          <w:rFonts w:ascii="Avenir Book" w:hAnsi="Avenir Book"/>
          <w:sz w:val="22"/>
          <w:szCs w:val="22"/>
        </w:rPr>
        <w:t>): e</w:t>
      </w:r>
      <w:r w:rsidRPr="00811951">
        <w:rPr>
          <w:rFonts w:ascii="Avenir Book" w:hAnsi="Avenir Book"/>
          <w:sz w:val="22"/>
          <w:szCs w:val="22"/>
        </w:rPr>
        <w:t xml:space="preserve">0238901. </w:t>
      </w:r>
      <w:r w:rsidR="00644422" w:rsidRPr="00811951">
        <w:rPr>
          <w:rFonts w:ascii="Avenir Book" w:hAnsi="Avenir Book"/>
          <w:sz w:val="22"/>
          <w:szCs w:val="22"/>
        </w:rPr>
        <w:t>doi: 10.1371/journal.pone</w:t>
      </w:r>
      <w:r w:rsidRPr="00811951">
        <w:rPr>
          <w:rFonts w:ascii="Avenir Book" w:hAnsi="Avenir Book"/>
          <w:sz w:val="22"/>
          <w:szCs w:val="22"/>
        </w:rPr>
        <w:t>.0238901</w:t>
      </w:r>
    </w:p>
    <w:p w14:paraId="32388A2C" w14:textId="0CFE8126"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EMSL Analytical, Inc. </w:t>
      </w:r>
      <w:r w:rsidRPr="00811951">
        <w:rPr>
          <w:rStyle w:val="Emphasis"/>
          <w:rFonts w:ascii="Avenir Book" w:hAnsi="Avenir Book"/>
          <w:sz w:val="22"/>
          <w:szCs w:val="22"/>
        </w:rPr>
        <w:t>Microbiology Sampling Guide</w:t>
      </w:r>
      <w:r w:rsidRPr="00811951">
        <w:rPr>
          <w:rFonts w:ascii="Avenir Book" w:hAnsi="Avenir Book"/>
          <w:sz w:val="22"/>
          <w:szCs w:val="22"/>
        </w:rPr>
        <w:t>. Parsippany, NJ: EMSL Analytical, Inc.; 2019. Accessed July 1, 2025.</w:t>
      </w:r>
      <w:r w:rsidR="00545464">
        <w:rPr>
          <w:rFonts w:ascii="Avenir Book" w:hAnsi="Avenir Book"/>
          <w:sz w:val="22"/>
          <w:szCs w:val="22"/>
        </w:rPr>
        <w:tab/>
      </w:r>
      <w:r w:rsidRPr="00811951">
        <w:rPr>
          <w:rFonts w:ascii="Avenir Book" w:hAnsi="Avenir Book"/>
          <w:sz w:val="22"/>
          <w:szCs w:val="22"/>
        </w:rPr>
        <w:t xml:space="preserve"> </w:t>
      </w:r>
      <w:hyperlink r:id="rId30" w:tgtFrame="_new" w:history="1">
        <w:r w:rsidRPr="00811951">
          <w:rPr>
            <w:rStyle w:val="Hyperlink"/>
            <w:rFonts w:ascii="Avenir Book" w:eastAsiaTheme="majorEastAsia" w:hAnsi="Avenir Book"/>
            <w:sz w:val="22"/>
            <w:szCs w:val="22"/>
          </w:rPr>
          <w:t>https://emsl.com/PDFDocuments/SamplingGuide/Microbiology%20Sampling%20Guide.pdf</w:t>
        </w:r>
      </w:hyperlink>
    </w:p>
    <w:p w14:paraId="3E1977A7"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Flannigan B, Samson RA, Miller JD, eds. </w:t>
      </w:r>
      <w:r w:rsidRPr="00811951">
        <w:rPr>
          <w:rFonts w:ascii="Avenir Book" w:hAnsi="Avenir Book"/>
          <w:i/>
          <w:iCs/>
          <w:sz w:val="22"/>
          <w:szCs w:val="22"/>
        </w:rPr>
        <w:t>Microorganisms in Home and Indoor Work Environments: Diversity, Health Impacts, Investigation, and Control</w:t>
      </w:r>
      <w:r w:rsidRPr="00811951">
        <w:rPr>
          <w:rFonts w:ascii="Avenir Book" w:eastAsiaTheme="majorEastAsia" w:hAnsi="Avenir Book"/>
          <w:sz w:val="22"/>
          <w:szCs w:val="22"/>
        </w:rPr>
        <w:t>. 2nd ed. Boca Raton, FL: CRC Press; 2011:33.</w:t>
      </w:r>
    </w:p>
    <w:p w14:paraId="721007F3" w14:textId="41EF8293"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Käpylä M, Penttinen A. An evaluation of the microscopic counting methods of the tape in Hirst-Burkard pollen and spore trap. </w:t>
      </w:r>
      <w:r w:rsidRPr="00811951">
        <w:rPr>
          <w:rStyle w:val="Emphasis"/>
          <w:rFonts w:ascii="Avenir Book" w:hAnsi="Avenir Book"/>
          <w:sz w:val="22"/>
          <w:szCs w:val="22"/>
        </w:rPr>
        <w:t>Grana</w:t>
      </w:r>
      <w:r w:rsidRPr="00811951">
        <w:rPr>
          <w:rFonts w:ascii="Avenir Book" w:hAnsi="Avenir Book"/>
          <w:sz w:val="22"/>
          <w:szCs w:val="22"/>
        </w:rPr>
        <w:t xml:space="preserve">. </w:t>
      </w:r>
      <w:r w:rsidR="00644422" w:rsidRPr="00811951">
        <w:rPr>
          <w:rFonts w:ascii="Avenir Book" w:hAnsi="Avenir Book"/>
          <w:sz w:val="22"/>
          <w:szCs w:val="22"/>
        </w:rPr>
        <w:t>1981; 20:131</w:t>
      </w:r>
      <w:r w:rsidRPr="00811951">
        <w:rPr>
          <w:rFonts w:ascii="Avenir Book" w:hAnsi="Avenir Book"/>
          <w:sz w:val="22"/>
          <w:szCs w:val="22"/>
        </w:rPr>
        <w:t>–141.</w:t>
      </w:r>
    </w:p>
    <w:p w14:paraId="6C0DDDA6"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CA7E15">
        <w:rPr>
          <w:rFonts w:ascii="Avenir Book" w:hAnsi="Avenir Book"/>
          <w:sz w:val="22"/>
          <w:szCs w:val="22"/>
          <w:lang w:val="fr-FR"/>
        </w:rPr>
        <w:t xml:space="preserve">Zhu H, Ge Y, Wang Y, et al. </w:t>
      </w:r>
      <w:r w:rsidRPr="00811951">
        <w:rPr>
          <w:rFonts w:ascii="Avenir Book" w:hAnsi="Avenir Book"/>
          <w:sz w:val="22"/>
          <w:szCs w:val="22"/>
        </w:rPr>
        <w:t xml:space="preserve">PCR past, present and future. </w:t>
      </w:r>
      <w:r w:rsidRPr="00811951">
        <w:rPr>
          <w:rStyle w:val="Emphasis"/>
          <w:rFonts w:ascii="Avenir Book" w:hAnsi="Avenir Book"/>
          <w:sz w:val="22"/>
          <w:szCs w:val="22"/>
        </w:rPr>
        <w:t>Biotechniques</w:t>
      </w:r>
      <w:r w:rsidRPr="00811951">
        <w:rPr>
          <w:rFonts w:ascii="Avenir Book" w:hAnsi="Avenir Book"/>
          <w:sz w:val="22"/>
          <w:szCs w:val="22"/>
        </w:rPr>
        <w:t>. 2020;69(4):317–325. doi:10.2144/btn-2020-0082</w:t>
      </w:r>
    </w:p>
    <w:p w14:paraId="6AFD2A8E"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Cox CS, Wathes CM. Bioaerosols in the environment. In: Cox CS, Wathes CM, eds. </w:t>
      </w:r>
      <w:r w:rsidRPr="00811951">
        <w:rPr>
          <w:rStyle w:val="Emphasis"/>
          <w:rFonts w:ascii="Avenir Book" w:hAnsi="Avenir Book"/>
          <w:sz w:val="22"/>
          <w:szCs w:val="22"/>
        </w:rPr>
        <w:t>Bioaerosols Handbook</w:t>
      </w:r>
      <w:r w:rsidRPr="00811951">
        <w:rPr>
          <w:rFonts w:ascii="Avenir Book" w:hAnsi="Avenir Book"/>
          <w:sz w:val="22"/>
          <w:szCs w:val="22"/>
        </w:rPr>
        <w:t>. Boca Raton, FL: Lewis Publishers; 1995.</w:t>
      </w:r>
    </w:p>
    <w:p w14:paraId="0D56702B" w14:textId="11CCC48D"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Nottrebart HS. Nosocomial infections acquired by hospital employees. </w:t>
      </w:r>
      <w:r w:rsidRPr="00811951">
        <w:rPr>
          <w:rStyle w:val="Emphasis"/>
          <w:rFonts w:ascii="Avenir Book" w:hAnsi="Avenir Book"/>
          <w:sz w:val="22"/>
          <w:szCs w:val="22"/>
        </w:rPr>
        <w:t>Infect Control</w:t>
      </w:r>
      <w:r w:rsidRPr="00811951">
        <w:rPr>
          <w:rFonts w:ascii="Avenir Book" w:hAnsi="Avenir Book"/>
          <w:sz w:val="22"/>
          <w:szCs w:val="22"/>
        </w:rPr>
        <w:t xml:space="preserve">. </w:t>
      </w:r>
      <w:r w:rsidR="00644422" w:rsidRPr="00811951">
        <w:rPr>
          <w:rFonts w:ascii="Avenir Book" w:hAnsi="Avenir Book"/>
          <w:sz w:val="22"/>
          <w:szCs w:val="22"/>
        </w:rPr>
        <w:t>1980; 1:257</w:t>
      </w:r>
      <w:r w:rsidRPr="00811951">
        <w:rPr>
          <w:rFonts w:ascii="Avenir Book" w:hAnsi="Avenir Book"/>
          <w:sz w:val="22"/>
          <w:szCs w:val="22"/>
        </w:rPr>
        <w:t>–259.</w:t>
      </w:r>
    </w:p>
    <w:p w14:paraId="4819C85C"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Burge HA, Macher JM, Milton DK, Ammann HA. Data evaluation. In: Macher J, ed. </w:t>
      </w:r>
      <w:r w:rsidRPr="00811951">
        <w:rPr>
          <w:rStyle w:val="Emphasis"/>
          <w:rFonts w:ascii="Avenir Book" w:hAnsi="Avenir Book"/>
          <w:sz w:val="22"/>
          <w:szCs w:val="22"/>
        </w:rPr>
        <w:t>Bioaerosols: Assessment and Control</w:t>
      </w:r>
      <w:r w:rsidRPr="00811951">
        <w:rPr>
          <w:rFonts w:ascii="Avenir Book" w:hAnsi="Avenir Book"/>
          <w:sz w:val="22"/>
          <w:szCs w:val="22"/>
        </w:rPr>
        <w:t>. Cincinnati, OH: American Conference of Governmental Industrial Hygienists; 1999.</w:t>
      </w:r>
    </w:p>
    <w:p w14:paraId="202847BE"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Macher J, ed. </w:t>
      </w:r>
      <w:r w:rsidRPr="00811951">
        <w:rPr>
          <w:rStyle w:val="Emphasis"/>
          <w:rFonts w:ascii="Avenir Book" w:hAnsi="Avenir Book"/>
          <w:sz w:val="22"/>
          <w:szCs w:val="22"/>
        </w:rPr>
        <w:t>Bioaerosols: Assessment and Control</w:t>
      </w:r>
      <w:r w:rsidRPr="00811951">
        <w:rPr>
          <w:rFonts w:ascii="Avenir Book" w:hAnsi="Avenir Book"/>
          <w:sz w:val="22"/>
          <w:szCs w:val="22"/>
        </w:rPr>
        <w:t>. Cincinnati, OH: American Conference of Governmental Industrial Hygienists; 1999.</w:t>
      </w:r>
    </w:p>
    <w:p w14:paraId="44550117"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Rubin J. Mycobacterial disinfection and control. In: Block SS, ed. </w:t>
      </w:r>
      <w:r w:rsidRPr="00811951">
        <w:rPr>
          <w:rStyle w:val="Emphasis"/>
          <w:rFonts w:ascii="Avenir Book" w:hAnsi="Avenir Book"/>
          <w:sz w:val="22"/>
          <w:szCs w:val="22"/>
        </w:rPr>
        <w:t>Disinfection, Sterilization, and Preservation</w:t>
      </w:r>
      <w:r w:rsidRPr="00811951">
        <w:rPr>
          <w:rFonts w:ascii="Avenir Book" w:hAnsi="Avenir Book"/>
          <w:sz w:val="22"/>
          <w:szCs w:val="22"/>
        </w:rPr>
        <w:t>. 4th ed. Philadelphia, PA: Lea &amp; Febiger; 1991.</w:t>
      </w:r>
    </w:p>
    <w:p w14:paraId="0C17AA9F" w14:textId="51164174"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Reinthaler FF, Haas D, Feierl G, et al. </w:t>
      </w:r>
      <w:r w:rsidRPr="00811951">
        <w:rPr>
          <w:rFonts w:ascii="Avenir Book" w:hAnsi="Avenir Book"/>
          <w:sz w:val="22"/>
          <w:szCs w:val="22"/>
        </w:rPr>
        <w:t xml:space="preserve">Comparative investigations of airborne culturable microorganisms in selected waste treatment facilities and in neighboring residential areas. </w:t>
      </w:r>
      <w:r w:rsidRPr="00811951">
        <w:rPr>
          <w:rStyle w:val="Emphasis"/>
          <w:rFonts w:ascii="Avenir Book" w:hAnsi="Avenir Book"/>
          <w:sz w:val="22"/>
          <w:szCs w:val="22"/>
        </w:rPr>
        <w:t>Zentralbl Hyg Umweltmed</w:t>
      </w:r>
      <w:r w:rsidRPr="00811951">
        <w:rPr>
          <w:rFonts w:ascii="Avenir Book" w:hAnsi="Avenir Book"/>
          <w:sz w:val="22"/>
          <w:szCs w:val="22"/>
        </w:rPr>
        <w:t xml:space="preserve">. </w:t>
      </w:r>
      <w:r w:rsidR="00644422" w:rsidRPr="00811951">
        <w:rPr>
          <w:rFonts w:ascii="Avenir Book" w:hAnsi="Avenir Book"/>
          <w:sz w:val="22"/>
          <w:szCs w:val="22"/>
        </w:rPr>
        <w:t>1999; 202:1</w:t>
      </w:r>
      <w:r w:rsidRPr="00811951">
        <w:rPr>
          <w:rFonts w:ascii="Avenir Book" w:hAnsi="Avenir Book"/>
          <w:sz w:val="22"/>
          <w:szCs w:val="22"/>
        </w:rPr>
        <w:t>–17.</w:t>
      </w:r>
    </w:p>
    <w:p w14:paraId="02F95262" w14:textId="0F90A080"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Reponen TA, Gazenko SV, Grinshpun SA, Willeke K, Cole EC. </w:t>
      </w:r>
      <w:r w:rsidRPr="00811951">
        <w:rPr>
          <w:rFonts w:ascii="Avenir Book" w:hAnsi="Avenir Book"/>
          <w:sz w:val="22"/>
          <w:szCs w:val="22"/>
        </w:rPr>
        <w:t xml:space="preserve">Characteristics of airborne actinomycete spores. </w:t>
      </w:r>
      <w:r w:rsidRPr="00811951">
        <w:rPr>
          <w:rStyle w:val="Emphasis"/>
          <w:rFonts w:ascii="Avenir Book" w:hAnsi="Avenir Book"/>
          <w:sz w:val="22"/>
          <w:szCs w:val="22"/>
        </w:rPr>
        <w:t>Appl Environ Microbiol</w:t>
      </w:r>
      <w:r w:rsidRPr="00811951">
        <w:rPr>
          <w:rFonts w:ascii="Avenir Book" w:hAnsi="Avenir Book"/>
          <w:sz w:val="22"/>
          <w:szCs w:val="22"/>
        </w:rPr>
        <w:t xml:space="preserve">. </w:t>
      </w:r>
      <w:r w:rsidR="00644422" w:rsidRPr="00811951">
        <w:rPr>
          <w:rFonts w:ascii="Avenir Book" w:hAnsi="Avenir Book"/>
          <w:sz w:val="22"/>
          <w:szCs w:val="22"/>
        </w:rPr>
        <w:t>1998; 64:3807</w:t>
      </w:r>
      <w:r w:rsidRPr="00811951">
        <w:rPr>
          <w:rFonts w:ascii="Avenir Book" w:hAnsi="Avenir Book"/>
          <w:sz w:val="22"/>
          <w:szCs w:val="22"/>
        </w:rPr>
        <w:t>–3812.</w:t>
      </w:r>
    </w:p>
    <w:p w14:paraId="31DA2B0E" w14:textId="208D94DC"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Nevalainen A, Pasanen AL, Niininen M, Reponen T, Jantunen MJ, Kalliokoski P. The indoor air quality in Finnish homes with mold problems. </w:t>
      </w:r>
      <w:r w:rsidRPr="00811951">
        <w:rPr>
          <w:rStyle w:val="Emphasis"/>
          <w:rFonts w:ascii="Avenir Book" w:hAnsi="Avenir Book"/>
          <w:sz w:val="22"/>
          <w:szCs w:val="22"/>
        </w:rPr>
        <w:t>Environ Int</w:t>
      </w:r>
      <w:r w:rsidRPr="00811951">
        <w:rPr>
          <w:rFonts w:ascii="Avenir Book" w:hAnsi="Avenir Book"/>
          <w:sz w:val="22"/>
          <w:szCs w:val="22"/>
        </w:rPr>
        <w:t xml:space="preserve">. </w:t>
      </w:r>
      <w:r w:rsidR="00644422" w:rsidRPr="00811951">
        <w:rPr>
          <w:rFonts w:ascii="Avenir Book" w:hAnsi="Avenir Book"/>
          <w:sz w:val="22"/>
          <w:szCs w:val="22"/>
        </w:rPr>
        <w:t>1991; 17:299</w:t>
      </w:r>
      <w:r w:rsidRPr="00811951">
        <w:rPr>
          <w:rFonts w:ascii="Avenir Book" w:hAnsi="Avenir Book"/>
          <w:sz w:val="22"/>
          <w:szCs w:val="22"/>
        </w:rPr>
        <w:t>–302.</w:t>
      </w:r>
    </w:p>
    <w:p w14:paraId="19B28D6F" w14:textId="34CBF86D"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Rautiala S, Reponen T, Hyvärinen A, et al. </w:t>
      </w:r>
      <w:r w:rsidRPr="00811951">
        <w:rPr>
          <w:rFonts w:ascii="Avenir Book" w:hAnsi="Avenir Book"/>
          <w:sz w:val="22"/>
          <w:szCs w:val="22"/>
        </w:rPr>
        <w:t xml:space="preserve">Exposure to airborne microbes during repair of moldy buildings. </w:t>
      </w:r>
      <w:r w:rsidRPr="00811951">
        <w:rPr>
          <w:rStyle w:val="Emphasis"/>
          <w:rFonts w:ascii="Avenir Book" w:hAnsi="Avenir Book"/>
          <w:sz w:val="22"/>
          <w:szCs w:val="22"/>
        </w:rPr>
        <w:t>Am Ind Hyg Assoc J</w:t>
      </w:r>
      <w:r w:rsidRPr="00811951">
        <w:rPr>
          <w:rFonts w:ascii="Avenir Book" w:hAnsi="Avenir Book"/>
          <w:sz w:val="22"/>
          <w:szCs w:val="22"/>
        </w:rPr>
        <w:t xml:space="preserve">. </w:t>
      </w:r>
      <w:r w:rsidR="00644422" w:rsidRPr="00811951">
        <w:rPr>
          <w:rFonts w:ascii="Avenir Book" w:hAnsi="Avenir Book"/>
          <w:sz w:val="22"/>
          <w:szCs w:val="22"/>
        </w:rPr>
        <w:t>1996; 57:279</w:t>
      </w:r>
      <w:r w:rsidRPr="00811951">
        <w:rPr>
          <w:rFonts w:ascii="Avenir Book" w:hAnsi="Avenir Book"/>
          <w:sz w:val="22"/>
          <w:szCs w:val="22"/>
        </w:rPr>
        <w:t>–284.</w:t>
      </w:r>
    </w:p>
    <w:p w14:paraId="71E8A188" w14:textId="6864EE8C"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Buttner MP, Stetzenbach LD. Monitoring of fungal spores in an experimental indoor environment to evaluate sampling methods and the effects of human activity on air sampling. </w:t>
      </w:r>
      <w:r w:rsidRPr="00811951">
        <w:rPr>
          <w:rStyle w:val="Emphasis"/>
          <w:rFonts w:ascii="Avenir Book" w:hAnsi="Avenir Book"/>
          <w:sz w:val="22"/>
          <w:szCs w:val="22"/>
        </w:rPr>
        <w:t>Appl Environ Microbiol</w:t>
      </w:r>
      <w:r w:rsidRPr="00811951">
        <w:rPr>
          <w:rFonts w:ascii="Avenir Book" w:hAnsi="Avenir Book"/>
          <w:sz w:val="22"/>
          <w:szCs w:val="22"/>
        </w:rPr>
        <w:t xml:space="preserve">. </w:t>
      </w:r>
      <w:r w:rsidR="00644422" w:rsidRPr="00811951">
        <w:rPr>
          <w:rFonts w:ascii="Avenir Book" w:hAnsi="Avenir Book"/>
          <w:sz w:val="22"/>
          <w:szCs w:val="22"/>
        </w:rPr>
        <w:t>1993; 59:219</w:t>
      </w:r>
      <w:r w:rsidRPr="00811951">
        <w:rPr>
          <w:rFonts w:ascii="Avenir Book" w:hAnsi="Avenir Book"/>
          <w:sz w:val="22"/>
          <w:szCs w:val="22"/>
        </w:rPr>
        <w:t>–226.</w:t>
      </w:r>
    </w:p>
    <w:p w14:paraId="0489BFD1"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lang w:val="fr-FR"/>
        </w:rPr>
        <w:t xml:space="preserve">Górny RL, Reponen T, Willeke K, Schmechel D, Robine E, Boissier M, Grinshpun SA. </w:t>
      </w:r>
      <w:r w:rsidRPr="00811951">
        <w:rPr>
          <w:rFonts w:ascii="Avenir Book" w:eastAsiaTheme="majorEastAsia" w:hAnsi="Avenir Book"/>
          <w:sz w:val="22"/>
          <w:szCs w:val="22"/>
        </w:rPr>
        <w:t xml:space="preserve">Fungal fragments as indoor air biocontaminants. </w:t>
      </w:r>
      <w:r w:rsidRPr="00811951">
        <w:rPr>
          <w:rFonts w:ascii="Avenir Book" w:hAnsi="Avenir Book"/>
          <w:i/>
          <w:iCs/>
          <w:sz w:val="22"/>
          <w:szCs w:val="22"/>
        </w:rPr>
        <w:t>Appl Environ Microbiol</w:t>
      </w:r>
      <w:r w:rsidRPr="00811951">
        <w:rPr>
          <w:rFonts w:ascii="Avenir Book" w:eastAsiaTheme="majorEastAsia" w:hAnsi="Avenir Book"/>
          <w:sz w:val="22"/>
          <w:szCs w:val="22"/>
        </w:rPr>
        <w:t>. 2002;68(7):3522–3531. doi:10.1128/AEM.68.7.3522-3531.2002</w:t>
      </w:r>
    </w:p>
    <w:p w14:paraId="33906D7F" w14:textId="323EA228"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lang w:val="fr-FR"/>
        </w:rPr>
        <w:t xml:space="preserve">Lee T, Grimsley F, Seo SC, Reponen T, Grinshpun SA. </w:t>
      </w:r>
      <w:r w:rsidRPr="00811951">
        <w:rPr>
          <w:rFonts w:ascii="Avenir Book" w:eastAsiaTheme="majorEastAsia" w:hAnsi="Avenir Book"/>
          <w:sz w:val="22"/>
          <w:szCs w:val="22"/>
        </w:rPr>
        <w:t xml:space="preserve">The level of submicron fungal fragments in homes with asthmatic children. </w:t>
      </w:r>
      <w:r w:rsidRPr="00811951">
        <w:rPr>
          <w:rFonts w:ascii="Avenir Book" w:hAnsi="Avenir Book"/>
          <w:i/>
          <w:iCs/>
          <w:sz w:val="22"/>
          <w:szCs w:val="22"/>
        </w:rPr>
        <w:t>Environ Res</w:t>
      </w:r>
      <w:r w:rsidRPr="00811951">
        <w:rPr>
          <w:rFonts w:ascii="Avenir Book" w:eastAsiaTheme="majorEastAsia" w:hAnsi="Avenir Book"/>
          <w:sz w:val="22"/>
          <w:szCs w:val="22"/>
        </w:rPr>
        <w:t xml:space="preserve">. </w:t>
      </w:r>
      <w:r w:rsidR="00644422" w:rsidRPr="00811951">
        <w:rPr>
          <w:rFonts w:ascii="Avenir Book" w:eastAsiaTheme="majorEastAsia" w:hAnsi="Avenir Book"/>
          <w:sz w:val="22"/>
          <w:szCs w:val="22"/>
        </w:rPr>
        <w:t>2014; 131:7</w:t>
      </w:r>
      <w:r w:rsidR="00644422" w:rsidRPr="00811951">
        <w:rPr>
          <w:rFonts w:ascii="Avenir Book" w:eastAsiaTheme="majorEastAsia" w:hAnsi="Avenir Book" w:hint="eastAsia"/>
          <w:sz w:val="22"/>
          <w:szCs w:val="22"/>
        </w:rPr>
        <w:t>1</w:t>
      </w:r>
      <w:r w:rsidRPr="00811951">
        <w:rPr>
          <w:rFonts w:ascii="Avenir Book" w:eastAsiaTheme="majorEastAsia" w:hAnsi="Avenir Book"/>
          <w:sz w:val="22"/>
          <w:szCs w:val="22"/>
        </w:rPr>
        <w:t xml:space="preserve">–76. </w:t>
      </w:r>
      <w:r w:rsidR="00644422" w:rsidRPr="00811951">
        <w:rPr>
          <w:rFonts w:ascii="Avenir Book" w:eastAsiaTheme="majorEastAsia" w:hAnsi="Avenir Book"/>
          <w:sz w:val="22"/>
          <w:szCs w:val="22"/>
        </w:rPr>
        <w:t>doi: 10.1016/j.envre</w:t>
      </w:r>
      <w:r w:rsidR="00644422" w:rsidRPr="00811951">
        <w:rPr>
          <w:rFonts w:ascii="Avenir Book" w:eastAsiaTheme="majorEastAsia" w:hAnsi="Avenir Book" w:hint="eastAsia"/>
          <w:sz w:val="22"/>
          <w:szCs w:val="22"/>
        </w:rPr>
        <w:t>s</w:t>
      </w:r>
      <w:r w:rsidRPr="00811951">
        <w:rPr>
          <w:rFonts w:ascii="Avenir Book" w:eastAsiaTheme="majorEastAsia" w:hAnsi="Avenir Book"/>
          <w:sz w:val="22"/>
          <w:szCs w:val="22"/>
        </w:rPr>
        <w:t>.2014.02.014</w:t>
      </w:r>
    </w:p>
    <w:p w14:paraId="46C5804C" w14:textId="77777777" w:rsidR="00A36B72" w:rsidRPr="00811951" w:rsidRDefault="00A36B72" w:rsidP="00A81B11">
      <w:pPr>
        <w:pStyle w:val="pf0"/>
        <w:numPr>
          <w:ilvl w:val="0"/>
          <w:numId w:val="10"/>
        </w:numPr>
        <w:spacing w:before="0" w:beforeAutospacing="0" w:after="0" w:afterAutospacing="0"/>
        <w:ind w:right="-5"/>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US Environmental Protection Agency. </w:t>
      </w:r>
      <w:r w:rsidRPr="00811951">
        <w:rPr>
          <w:rFonts w:ascii="Avenir Book" w:hAnsi="Avenir Book"/>
          <w:i/>
          <w:iCs/>
          <w:sz w:val="22"/>
          <w:szCs w:val="22"/>
        </w:rPr>
        <w:t>The Environmental Relative Moldiness Index (ERMI)</w:t>
      </w:r>
      <w:r w:rsidRPr="00811951">
        <w:rPr>
          <w:rFonts w:ascii="Avenir Book" w:eastAsiaTheme="majorEastAsia" w:hAnsi="Avenir Book"/>
          <w:sz w:val="22"/>
          <w:szCs w:val="22"/>
        </w:rPr>
        <w:t>. EPA Science Inventory Fact Sheet; September 9, 2021.</w:t>
      </w:r>
    </w:p>
    <w:p w14:paraId="21D7B150" w14:textId="32225B8A"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Houbraken J, Frisvad JC, Samson RA, Westerdijk Fungal Biodiversity Institute. Classification of </w:t>
      </w:r>
      <w:r w:rsidRPr="00811951">
        <w:rPr>
          <w:rStyle w:val="Emphasis"/>
          <w:rFonts w:ascii="Avenir Book" w:hAnsi="Avenir Book"/>
          <w:sz w:val="22"/>
          <w:szCs w:val="22"/>
        </w:rPr>
        <w:t>Aspergillus</w:t>
      </w:r>
      <w:r w:rsidRPr="00811951">
        <w:rPr>
          <w:rFonts w:ascii="Avenir Book" w:hAnsi="Avenir Book"/>
          <w:sz w:val="22"/>
          <w:szCs w:val="22"/>
        </w:rPr>
        <w:t xml:space="preserve">, </w:t>
      </w:r>
      <w:r w:rsidRPr="00811951">
        <w:rPr>
          <w:rStyle w:val="Emphasis"/>
          <w:rFonts w:ascii="Avenir Book" w:hAnsi="Avenir Book"/>
          <w:sz w:val="22"/>
          <w:szCs w:val="22"/>
        </w:rPr>
        <w:t>Penicillium</w:t>
      </w:r>
      <w:r w:rsidRPr="00811951">
        <w:rPr>
          <w:rFonts w:ascii="Avenir Book" w:hAnsi="Avenir Book"/>
          <w:sz w:val="22"/>
          <w:szCs w:val="22"/>
        </w:rPr>
        <w:t xml:space="preserve">, </w:t>
      </w:r>
      <w:r w:rsidRPr="00811951">
        <w:rPr>
          <w:rStyle w:val="Emphasis"/>
          <w:rFonts w:ascii="Avenir Book" w:hAnsi="Avenir Book"/>
          <w:sz w:val="22"/>
          <w:szCs w:val="22"/>
        </w:rPr>
        <w:t>Talaromyces</w:t>
      </w:r>
      <w:r w:rsidRPr="00811951">
        <w:rPr>
          <w:rFonts w:ascii="Avenir Book" w:hAnsi="Avenir Book"/>
          <w:sz w:val="22"/>
          <w:szCs w:val="22"/>
        </w:rPr>
        <w:t xml:space="preserve">, and related genera (Eurotiales): an overview of families, genera, subgenera, sections, series and species. </w:t>
      </w:r>
      <w:r w:rsidRPr="00811951">
        <w:rPr>
          <w:rStyle w:val="Emphasis"/>
          <w:rFonts w:ascii="Avenir Book" w:hAnsi="Avenir Book"/>
          <w:sz w:val="22"/>
          <w:szCs w:val="22"/>
        </w:rPr>
        <w:t>Stud Mycol</w:t>
      </w:r>
      <w:r w:rsidRPr="00811951">
        <w:rPr>
          <w:rFonts w:ascii="Avenir Book" w:hAnsi="Avenir Book"/>
          <w:sz w:val="22"/>
          <w:szCs w:val="22"/>
        </w:rPr>
        <w:t xml:space="preserve">. </w:t>
      </w:r>
      <w:r w:rsidR="00644422" w:rsidRPr="00811951">
        <w:rPr>
          <w:rFonts w:ascii="Avenir Book" w:hAnsi="Avenir Book"/>
          <w:sz w:val="22"/>
          <w:szCs w:val="22"/>
        </w:rPr>
        <w:t>2021; 102:1</w:t>
      </w:r>
      <w:r w:rsidRPr="00811951">
        <w:rPr>
          <w:rFonts w:ascii="Avenir Book" w:hAnsi="Avenir Book"/>
          <w:sz w:val="22"/>
          <w:szCs w:val="22"/>
        </w:rPr>
        <w:t xml:space="preserve">–165. </w:t>
      </w:r>
      <w:r w:rsidR="00644422" w:rsidRPr="00811951">
        <w:rPr>
          <w:rFonts w:ascii="Avenir Book" w:hAnsi="Avenir Book"/>
          <w:sz w:val="22"/>
          <w:szCs w:val="22"/>
        </w:rPr>
        <w:t>doi: 10.1016/j.simyco</w:t>
      </w:r>
      <w:r w:rsidRPr="00811951">
        <w:rPr>
          <w:rFonts w:ascii="Avenir Book" w:hAnsi="Avenir Book"/>
          <w:sz w:val="22"/>
          <w:szCs w:val="22"/>
        </w:rPr>
        <w:t>.2021.01.002</w:t>
      </w:r>
    </w:p>
    <w:p w14:paraId="6ABA0B66" w14:textId="738BD64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CA7E15">
        <w:rPr>
          <w:rFonts w:ascii="Avenir Book" w:hAnsi="Avenir Book"/>
          <w:sz w:val="22"/>
          <w:szCs w:val="22"/>
          <w:lang w:val="fr-FR"/>
        </w:rPr>
        <w:t xml:space="preserve">Samson RA, Frisvad JC, Hubka V, et al. </w:t>
      </w:r>
      <w:r w:rsidRPr="00811951">
        <w:rPr>
          <w:rFonts w:ascii="Avenir Book" w:hAnsi="Avenir Book"/>
          <w:sz w:val="22"/>
          <w:szCs w:val="22"/>
        </w:rPr>
        <w:t xml:space="preserve">Phylogeny, identification and nomenclature of the genus </w:t>
      </w:r>
      <w:r w:rsidRPr="00811951">
        <w:rPr>
          <w:rStyle w:val="Emphasis"/>
          <w:rFonts w:ascii="Avenir Book" w:hAnsi="Avenir Book"/>
          <w:sz w:val="22"/>
          <w:szCs w:val="22"/>
        </w:rPr>
        <w:t>Aspergillus</w:t>
      </w:r>
      <w:r w:rsidRPr="00811951">
        <w:rPr>
          <w:rFonts w:ascii="Avenir Book" w:hAnsi="Avenir Book"/>
          <w:sz w:val="22"/>
          <w:szCs w:val="22"/>
        </w:rPr>
        <w:t xml:space="preserve">. </w:t>
      </w:r>
      <w:r w:rsidRPr="00811951">
        <w:rPr>
          <w:rStyle w:val="Emphasis"/>
          <w:rFonts w:ascii="Avenir Book" w:hAnsi="Avenir Book"/>
          <w:sz w:val="22"/>
          <w:szCs w:val="22"/>
        </w:rPr>
        <w:t>Stud Mycol</w:t>
      </w:r>
      <w:r w:rsidRPr="00811951">
        <w:rPr>
          <w:rFonts w:ascii="Avenir Book" w:hAnsi="Avenir Book"/>
          <w:sz w:val="22"/>
          <w:szCs w:val="22"/>
        </w:rPr>
        <w:t xml:space="preserve">. </w:t>
      </w:r>
      <w:r w:rsidR="00644422" w:rsidRPr="00811951">
        <w:rPr>
          <w:rFonts w:ascii="Avenir Book" w:hAnsi="Avenir Book"/>
          <w:sz w:val="22"/>
          <w:szCs w:val="22"/>
        </w:rPr>
        <w:t>2014; 78:141</w:t>
      </w:r>
      <w:r w:rsidRPr="00811951">
        <w:rPr>
          <w:rFonts w:ascii="Avenir Book" w:hAnsi="Avenir Book"/>
          <w:sz w:val="22"/>
          <w:szCs w:val="22"/>
        </w:rPr>
        <w:t xml:space="preserve">–173. </w:t>
      </w:r>
      <w:r w:rsidR="00644422" w:rsidRPr="00811951">
        <w:rPr>
          <w:rFonts w:ascii="Avenir Book" w:hAnsi="Avenir Book"/>
          <w:sz w:val="22"/>
          <w:szCs w:val="22"/>
        </w:rPr>
        <w:t>doi: 10.1016/j.simyco</w:t>
      </w:r>
      <w:r w:rsidRPr="00811951">
        <w:rPr>
          <w:rFonts w:ascii="Avenir Book" w:hAnsi="Avenir Book"/>
          <w:sz w:val="22"/>
          <w:szCs w:val="22"/>
        </w:rPr>
        <w:t>.2014.07.004</w:t>
      </w:r>
    </w:p>
    <w:p w14:paraId="7E5430E0" w14:textId="5B324F7A"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Lin KT, Schrantz M, Sandagdorj O, et al. </w:t>
      </w:r>
      <w:r w:rsidRPr="00811951">
        <w:rPr>
          <w:rFonts w:ascii="Avenir Book" w:hAnsi="Avenir Book"/>
          <w:sz w:val="22"/>
          <w:szCs w:val="22"/>
        </w:rPr>
        <w:t>Spore trap analysis and</w:t>
      </w:r>
      <w:r w:rsidR="00A4440C">
        <w:rPr>
          <w:rFonts w:ascii="Avenir Book" w:hAnsi="Avenir Book"/>
          <w:sz w:val="22"/>
          <w:szCs w:val="22"/>
        </w:rPr>
        <w:t xml:space="preserve"> </w:t>
      </w:r>
      <w:r w:rsidR="00E25F5E">
        <w:rPr>
          <w:rFonts w:ascii="Avenir Book" w:hAnsi="Avenir Book"/>
          <w:sz w:val="22"/>
          <w:szCs w:val="22"/>
        </w:rPr>
        <w:t>MSQPCR</w:t>
      </w:r>
      <w:r w:rsidR="00A4440C">
        <w:rPr>
          <w:rFonts w:ascii="Avenir Book" w:hAnsi="Avenir Book"/>
          <w:sz w:val="22"/>
          <w:szCs w:val="22"/>
        </w:rPr>
        <w:t xml:space="preserve"> </w:t>
      </w:r>
      <w:r w:rsidRPr="00811951">
        <w:rPr>
          <w:rFonts w:ascii="Avenir Book" w:hAnsi="Avenir Book"/>
          <w:sz w:val="22"/>
          <w:szCs w:val="22"/>
        </w:rPr>
        <w:t xml:space="preserve">in evaluating mold burden: a flooded gymnasium case study. </w:t>
      </w:r>
      <w:r w:rsidRPr="00811951">
        <w:rPr>
          <w:rStyle w:val="Emphasis"/>
          <w:rFonts w:ascii="Avenir Book" w:hAnsi="Avenir Book"/>
          <w:sz w:val="22"/>
          <w:szCs w:val="22"/>
        </w:rPr>
        <w:t>Front Biosci (Elite Ed)</w:t>
      </w:r>
      <w:r w:rsidRPr="00811951">
        <w:rPr>
          <w:rFonts w:ascii="Avenir Book" w:hAnsi="Avenir Book"/>
          <w:sz w:val="22"/>
          <w:szCs w:val="22"/>
        </w:rPr>
        <w:t>. 2011;3(1):108–114.</w:t>
      </w:r>
    </w:p>
    <w:p w14:paraId="7EE405FF" w14:textId="0774F4B8"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Meklin T, Reponen T, McKinstry C, et al. </w:t>
      </w:r>
      <w:r w:rsidRPr="00811951">
        <w:rPr>
          <w:rFonts w:ascii="Avenir Book" w:hAnsi="Avenir Book"/>
          <w:sz w:val="22"/>
          <w:szCs w:val="22"/>
        </w:rPr>
        <w:t>Comparison of mold concentrations quantified by</w:t>
      </w:r>
      <w:r w:rsidR="00A4440C">
        <w:rPr>
          <w:rFonts w:ascii="Avenir Book" w:hAnsi="Avenir Book"/>
          <w:sz w:val="22"/>
          <w:szCs w:val="22"/>
        </w:rPr>
        <w:t xml:space="preserve"> </w:t>
      </w:r>
      <w:r w:rsidR="00E25F5E">
        <w:rPr>
          <w:rFonts w:ascii="Avenir Book" w:hAnsi="Avenir Book"/>
          <w:sz w:val="22"/>
          <w:szCs w:val="22"/>
        </w:rPr>
        <w:t>MSQPCR</w:t>
      </w:r>
      <w:r w:rsidR="00A4440C">
        <w:rPr>
          <w:rFonts w:ascii="Avenir Book" w:hAnsi="Avenir Book"/>
          <w:sz w:val="22"/>
          <w:szCs w:val="22"/>
        </w:rPr>
        <w:t xml:space="preserve"> </w:t>
      </w:r>
      <w:r w:rsidRPr="00811951">
        <w:rPr>
          <w:rFonts w:ascii="Avenir Book" w:hAnsi="Avenir Book"/>
          <w:sz w:val="22"/>
          <w:szCs w:val="22"/>
        </w:rPr>
        <w:t xml:space="preserve">in indoor and outdoor air sampled simultaneously. </w:t>
      </w:r>
      <w:r w:rsidRPr="00811951">
        <w:rPr>
          <w:rStyle w:val="Emphasis"/>
          <w:rFonts w:ascii="Avenir Book" w:hAnsi="Avenir Book"/>
          <w:sz w:val="22"/>
          <w:szCs w:val="22"/>
        </w:rPr>
        <w:t>Sci Total Environ</w:t>
      </w:r>
      <w:r w:rsidRPr="00811951">
        <w:rPr>
          <w:rFonts w:ascii="Avenir Book" w:hAnsi="Avenir Book"/>
          <w:sz w:val="22"/>
          <w:szCs w:val="22"/>
        </w:rPr>
        <w:t>. 2007;382(1):130–134.</w:t>
      </w:r>
      <w:r w:rsidR="00545464">
        <w:rPr>
          <w:rFonts w:ascii="Avenir Book" w:hAnsi="Avenir Book"/>
          <w:sz w:val="22"/>
          <w:szCs w:val="22"/>
        </w:rPr>
        <w:tab/>
      </w:r>
      <w:r w:rsidRPr="00811951">
        <w:rPr>
          <w:rFonts w:ascii="Avenir Book" w:hAnsi="Avenir Book"/>
          <w:sz w:val="22"/>
          <w:szCs w:val="22"/>
        </w:rPr>
        <w:t xml:space="preserve"> </w:t>
      </w:r>
      <w:r w:rsidR="00644422" w:rsidRPr="00811951">
        <w:rPr>
          <w:rFonts w:ascii="Avenir Book" w:hAnsi="Avenir Book"/>
          <w:sz w:val="22"/>
          <w:szCs w:val="22"/>
        </w:rPr>
        <w:t>doi: 10.1016/j.scitotenv</w:t>
      </w:r>
      <w:r w:rsidRPr="00811951">
        <w:rPr>
          <w:rFonts w:ascii="Avenir Book" w:hAnsi="Avenir Book"/>
          <w:sz w:val="22"/>
          <w:szCs w:val="22"/>
        </w:rPr>
        <w:t>.2007.04.031</w:t>
      </w:r>
    </w:p>
    <w:p w14:paraId="0CC6F4F6" w14:textId="4CE60EF8"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Lignell U, Meklin T, Rintala H, et al. </w:t>
      </w:r>
      <w:r w:rsidRPr="00811951">
        <w:rPr>
          <w:rFonts w:ascii="Avenir Book" w:hAnsi="Avenir Book"/>
          <w:sz w:val="22"/>
          <w:szCs w:val="22"/>
        </w:rPr>
        <w:t xml:space="preserve">Evaluation of quantitative PCR and culture methods for detection of house dust fungi and </w:t>
      </w:r>
      <w:r w:rsidRPr="00811951">
        <w:rPr>
          <w:rStyle w:val="Emphasis"/>
          <w:rFonts w:ascii="Avenir Book" w:hAnsi="Avenir Book"/>
          <w:sz w:val="22"/>
          <w:szCs w:val="22"/>
        </w:rPr>
        <w:t>Streptomycetes</w:t>
      </w:r>
      <w:r w:rsidRPr="00811951">
        <w:rPr>
          <w:rFonts w:ascii="Avenir Book" w:hAnsi="Avenir Book"/>
          <w:sz w:val="22"/>
          <w:szCs w:val="22"/>
        </w:rPr>
        <w:t xml:space="preserve"> in relation to moisture damage of the house. </w:t>
      </w:r>
      <w:r w:rsidRPr="00811951">
        <w:rPr>
          <w:rStyle w:val="Emphasis"/>
          <w:rFonts w:ascii="Avenir Book" w:hAnsi="Avenir Book"/>
          <w:sz w:val="22"/>
          <w:szCs w:val="22"/>
        </w:rPr>
        <w:t>Lett Appl Microbiol</w:t>
      </w:r>
      <w:r w:rsidRPr="00811951">
        <w:rPr>
          <w:rFonts w:ascii="Avenir Book" w:hAnsi="Avenir Book"/>
          <w:sz w:val="22"/>
          <w:szCs w:val="22"/>
        </w:rPr>
        <w:t>. 2008;47(4):303–308. doi:10.1111/j.1472-765X.</w:t>
      </w:r>
      <w:r w:rsidR="00644422" w:rsidRPr="00811951">
        <w:rPr>
          <w:rFonts w:ascii="Avenir Book" w:hAnsi="Avenir Book"/>
          <w:sz w:val="22"/>
          <w:szCs w:val="22"/>
        </w:rPr>
        <w:t>2008. 02441.x</w:t>
      </w:r>
    </w:p>
    <w:p w14:paraId="47B03571" w14:textId="48A824DF"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Reponen T, Cho SH, Grinshpun SA, et al. </w:t>
      </w:r>
      <w:r w:rsidRPr="00811951">
        <w:rPr>
          <w:rFonts w:ascii="Avenir Book" w:hAnsi="Avenir Book"/>
          <w:sz w:val="22"/>
          <w:szCs w:val="22"/>
        </w:rPr>
        <w:t xml:space="preserve">Comparison of </w:t>
      </w:r>
      <w:r w:rsidR="00906F35">
        <w:rPr>
          <w:rFonts w:ascii="Avenir Book" w:hAnsi="Avenir Book"/>
          <w:sz w:val="22"/>
          <w:szCs w:val="22"/>
        </w:rPr>
        <w:t>qPCR</w:t>
      </w:r>
      <w:r w:rsidRPr="00811951">
        <w:rPr>
          <w:rFonts w:ascii="Avenir Book" w:hAnsi="Avenir Book"/>
          <w:sz w:val="22"/>
          <w:szCs w:val="22"/>
        </w:rPr>
        <w:t xml:space="preserve"> and culture-based methods for assessing indoor fungal exposure in homes with asthmatic children. </w:t>
      </w:r>
      <w:r w:rsidRPr="00811951">
        <w:rPr>
          <w:rStyle w:val="Emphasis"/>
          <w:rFonts w:ascii="Avenir Book" w:hAnsi="Avenir Book"/>
          <w:sz w:val="22"/>
          <w:szCs w:val="22"/>
        </w:rPr>
        <w:t>Environ Sci Technol</w:t>
      </w:r>
      <w:r w:rsidRPr="00811951">
        <w:rPr>
          <w:rFonts w:ascii="Avenir Book" w:hAnsi="Avenir Book"/>
          <w:sz w:val="22"/>
          <w:szCs w:val="22"/>
        </w:rPr>
        <w:t>. 2008;42(7):2532–2538. doi:10.1021/es0715973</w:t>
      </w:r>
    </w:p>
    <w:p w14:paraId="4DFF131B"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lastRenderedPageBreak/>
        <w:t xml:space="preserve">Vesper SJ. Traditional mold analysis compared to a DNA-based method of mold analysis. </w:t>
      </w:r>
      <w:r w:rsidRPr="00811951">
        <w:rPr>
          <w:rStyle w:val="Emphasis"/>
          <w:rFonts w:ascii="Avenir Book" w:hAnsi="Avenir Book"/>
          <w:sz w:val="22"/>
          <w:szCs w:val="22"/>
        </w:rPr>
        <w:t>Crit Rev Microbiol</w:t>
      </w:r>
      <w:r w:rsidRPr="00811951">
        <w:rPr>
          <w:rFonts w:ascii="Avenir Book" w:hAnsi="Avenir Book"/>
          <w:sz w:val="22"/>
          <w:szCs w:val="22"/>
        </w:rPr>
        <w:t>. 2011;37(1):15–24. doi:10.3109/1040841X.2010.506177</w:t>
      </w:r>
    </w:p>
    <w:p w14:paraId="4D8CD198" w14:textId="66FAC413"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fr-FR"/>
        </w:rPr>
        <w:t xml:space="preserve">Amin H, Balyan R, Patel K, et al. </w:t>
      </w:r>
      <w:r w:rsidRPr="00811951">
        <w:rPr>
          <w:rFonts w:ascii="Avenir Book" w:hAnsi="Avenir Book"/>
          <w:sz w:val="22"/>
          <w:szCs w:val="22"/>
        </w:rPr>
        <w:t xml:space="preserve">Indoor airborne microbiome and endotoxin: meteorological events and occupant characteristics are important determinants. </w:t>
      </w:r>
      <w:r w:rsidRPr="00811951">
        <w:rPr>
          <w:rStyle w:val="Emphasis"/>
          <w:rFonts w:ascii="Avenir Book" w:hAnsi="Avenir Book"/>
          <w:sz w:val="22"/>
          <w:szCs w:val="22"/>
        </w:rPr>
        <w:t>Environ Sci Technol</w:t>
      </w:r>
      <w:r w:rsidRPr="00811951">
        <w:rPr>
          <w:rFonts w:ascii="Avenir Book" w:hAnsi="Avenir Book"/>
          <w:sz w:val="22"/>
          <w:szCs w:val="22"/>
        </w:rPr>
        <w:t xml:space="preserve">. 2023;57(32):11750–11766. </w:t>
      </w:r>
      <w:r w:rsidR="00644422" w:rsidRPr="00811951">
        <w:rPr>
          <w:rFonts w:ascii="Avenir Book" w:hAnsi="Avenir Book"/>
          <w:sz w:val="22"/>
          <w:szCs w:val="22"/>
        </w:rPr>
        <w:t>doi: 10.1021/acs.est</w:t>
      </w:r>
      <w:r w:rsidRPr="00811951">
        <w:rPr>
          <w:rFonts w:ascii="Avenir Book" w:hAnsi="Avenir Book"/>
          <w:sz w:val="22"/>
          <w:szCs w:val="22"/>
        </w:rPr>
        <w:t>.3c02513</w:t>
      </w:r>
    </w:p>
    <w:p w14:paraId="2E518571" w14:textId="553C1BB2"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BC63BC">
        <w:rPr>
          <w:rFonts w:ascii="Avenir Book" w:hAnsi="Avenir Book"/>
          <w:sz w:val="22"/>
          <w:szCs w:val="22"/>
          <w:lang w:val="en-US"/>
        </w:rPr>
        <w:t xml:space="preserve">Amin H, Patel K, Balyan R, et al. </w:t>
      </w:r>
      <w:r w:rsidRPr="00811951">
        <w:rPr>
          <w:rFonts w:ascii="Avenir Book" w:hAnsi="Avenir Book"/>
          <w:sz w:val="22"/>
          <w:szCs w:val="22"/>
        </w:rPr>
        <w:t xml:space="preserve">Optimization of bacterial DNA and endotoxin extraction from settled airborne dust. </w:t>
      </w:r>
      <w:r w:rsidRPr="00811951">
        <w:rPr>
          <w:rStyle w:val="Emphasis"/>
          <w:rFonts w:ascii="Avenir Book" w:hAnsi="Avenir Book"/>
          <w:sz w:val="22"/>
          <w:szCs w:val="22"/>
        </w:rPr>
        <w:t>Sci Total Environ</w:t>
      </w:r>
      <w:r w:rsidRPr="00811951">
        <w:rPr>
          <w:rFonts w:ascii="Avenir Book" w:hAnsi="Avenir Book"/>
          <w:sz w:val="22"/>
          <w:szCs w:val="22"/>
        </w:rPr>
        <w:t xml:space="preserve">. </w:t>
      </w:r>
      <w:r w:rsidR="00644422" w:rsidRPr="00811951">
        <w:rPr>
          <w:rFonts w:ascii="Avenir Book" w:hAnsi="Avenir Book"/>
          <w:sz w:val="22"/>
          <w:szCs w:val="22"/>
        </w:rPr>
        <w:t>2023; 857:159455</w:t>
      </w:r>
      <w:r w:rsidRPr="00811951">
        <w:rPr>
          <w:rFonts w:ascii="Avenir Book" w:hAnsi="Avenir Book"/>
          <w:sz w:val="22"/>
          <w:szCs w:val="22"/>
        </w:rPr>
        <w:t xml:space="preserve">. </w:t>
      </w:r>
      <w:r w:rsidR="00644422" w:rsidRPr="00811951">
        <w:rPr>
          <w:rFonts w:ascii="Avenir Book" w:hAnsi="Avenir Book"/>
          <w:sz w:val="22"/>
          <w:szCs w:val="22"/>
        </w:rPr>
        <w:t>doi: 10.1016/j.scitotenv</w:t>
      </w:r>
      <w:r w:rsidRPr="00811951">
        <w:rPr>
          <w:rFonts w:ascii="Avenir Book" w:hAnsi="Avenir Book"/>
          <w:sz w:val="22"/>
          <w:szCs w:val="22"/>
        </w:rPr>
        <w:t>.2022.159455</w:t>
      </w:r>
    </w:p>
    <w:p w14:paraId="087915FF"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Dungan RS, Leytem AB. Airborne endotoxin concentrations at a large open-lot dairy in southern Idaho. </w:t>
      </w:r>
      <w:r w:rsidRPr="00811951">
        <w:rPr>
          <w:rStyle w:val="Emphasis"/>
          <w:rFonts w:ascii="Avenir Book" w:hAnsi="Avenir Book"/>
          <w:sz w:val="22"/>
          <w:szCs w:val="22"/>
        </w:rPr>
        <w:t>J Environ Qual</w:t>
      </w:r>
      <w:r w:rsidRPr="00811951">
        <w:rPr>
          <w:rFonts w:ascii="Avenir Book" w:hAnsi="Avenir Book"/>
          <w:sz w:val="22"/>
          <w:szCs w:val="22"/>
        </w:rPr>
        <w:t>. 2009;38(5):1919–1923. doi:10.2134/jeq2008.0459</w:t>
      </w:r>
    </w:p>
    <w:p w14:paraId="284D983A"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Eduard W. Exposure to non-infectious microorganisms and endotoxins in agriculture. </w:t>
      </w:r>
      <w:r w:rsidRPr="00811951">
        <w:rPr>
          <w:rStyle w:val="Emphasis"/>
          <w:rFonts w:ascii="Avenir Book" w:hAnsi="Avenir Book"/>
          <w:sz w:val="22"/>
          <w:szCs w:val="22"/>
        </w:rPr>
        <w:t>Ann Agric Environ Med</w:t>
      </w:r>
      <w:r w:rsidRPr="00811951">
        <w:rPr>
          <w:rFonts w:ascii="Avenir Book" w:hAnsi="Avenir Book"/>
          <w:sz w:val="22"/>
          <w:szCs w:val="22"/>
        </w:rPr>
        <w:t>. 1997;4(2):17–26.</w:t>
      </w:r>
    </w:p>
    <w:p w14:paraId="43D5B293"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Gioffrè A, Marramao A, Iannò A. Airborne microorganisms, endotoxin, and dust concentration in wood factories in Italy. </w:t>
      </w:r>
      <w:r w:rsidRPr="00811951">
        <w:rPr>
          <w:rStyle w:val="Emphasis"/>
          <w:rFonts w:ascii="Avenir Book" w:hAnsi="Avenir Book"/>
          <w:sz w:val="22"/>
          <w:szCs w:val="22"/>
        </w:rPr>
        <w:t>Ann Occup Hyg</w:t>
      </w:r>
      <w:r w:rsidRPr="00811951">
        <w:rPr>
          <w:rFonts w:ascii="Avenir Book" w:hAnsi="Avenir Book"/>
          <w:sz w:val="22"/>
          <w:szCs w:val="22"/>
        </w:rPr>
        <w:t>. 2012;56(2):161–169. doi:10.1093/annhyg/mer089</w:t>
      </w:r>
    </w:p>
    <w:p w14:paraId="78309282" w14:textId="0BCE2099"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lang w:val="es-ES"/>
        </w:rPr>
        <w:t xml:space="preserve">Lang-Yona N, Aboaba O, Levin Y, et al. </w:t>
      </w:r>
      <w:r w:rsidRPr="00811951">
        <w:rPr>
          <w:rFonts w:ascii="Avenir Book" w:hAnsi="Avenir Book"/>
          <w:sz w:val="22"/>
          <w:szCs w:val="22"/>
        </w:rPr>
        <w:t xml:space="preserve">Air-sampled filter analysis for endotoxins and DNA content. </w:t>
      </w:r>
      <w:r w:rsidRPr="00811951">
        <w:rPr>
          <w:rStyle w:val="Emphasis"/>
          <w:rFonts w:ascii="Avenir Book" w:hAnsi="Avenir Book"/>
          <w:sz w:val="22"/>
          <w:szCs w:val="22"/>
        </w:rPr>
        <w:t>J Vis Exp</w:t>
      </w:r>
      <w:r w:rsidRPr="00811951">
        <w:rPr>
          <w:rFonts w:ascii="Avenir Book" w:hAnsi="Avenir Book"/>
          <w:sz w:val="22"/>
          <w:szCs w:val="22"/>
        </w:rPr>
        <w:t>. 2016;(109</w:t>
      </w:r>
      <w:r w:rsidR="00644422" w:rsidRPr="00811951">
        <w:rPr>
          <w:rFonts w:ascii="Avenir Book" w:hAnsi="Avenir Book"/>
          <w:sz w:val="22"/>
          <w:szCs w:val="22"/>
        </w:rPr>
        <w:t>): e</w:t>
      </w:r>
      <w:r w:rsidRPr="00811951">
        <w:rPr>
          <w:rFonts w:ascii="Avenir Book" w:hAnsi="Avenir Book"/>
          <w:sz w:val="22"/>
          <w:szCs w:val="22"/>
        </w:rPr>
        <w:t>53444. doi:10.3791/53444</w:t>
      </w:r>
    </w:p>
    <w:p w14:paraId="7A716EA6" w14:textId="606FE9E0"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BC63BC">
        <w:rPr>
          <w:rFonts w:ascii="Avenir Book" w:hAnsi="Avenir Book"/>
          <w:sz w:val="22"/>
          <w:szCs w:val="22"/>
          <w:lang w:val="en-US"/>
        </w:rPr>
        <w:t xml:space="preserve">Laitinen S, Kangas J, Kotimaa M, et al. </w:t>
      </w:r>
      <w:r w:rsidRPr="00811951">
        <w:rPr>
          <w:rFonts w:ascii="Avenir Book" w:hAnsi="Avenir Book"/>
          <w:sz w:val="22"/>
          <w:szCs w:val="22"/>
        </w:rPr>
        <w:t xml:space="preserve">Exposure to biological and chemical agents at biomass power plants. </w:t>
      </w:r>
      <w:r w:rsidRPr="00811951">
        <w:rPr>
          <w:rStyle w:val="Emphasis"/>
          <w:rFonts w:ascii="Avenir Book" w:hAnsi="Avenir Book"/>
          <w:sz w:val="22"/>
          <w:szCs w:val="22"/>
        </w:rPr>
        <w:t>Biomass Bioenergy</w:t>
      </w:r>
      <w:r w:rsidRPr="00811951">
        <w:rPr>
          <w:rFonts w:ascii="Avenir Book" w:hAnsi="Avenir Book"/>
          <w:sz w:val="22"/>
          <w:szCs w:val="22"/>
        </w:rPr>
        <w:t xml:space="preserve">. </w:t>
      </w:r>
      <w:r w:rsidR="00644422" w:rsidRPr="00811951">
        <w:rPr>
          <w:rFonts w:ascii="Avenir Book" w:hAnsi="Avenir Book"/>
          <w:sz w:val="22"/>
          <w:szCs w:val="22"/>
        </w:rPr>
        <w:t>2016; 93:78</w:t>
      </w:r>
      <w:r w:rsidRPr="00811951">
        <w:rPr>
          <w:rFonts w:ascii="Avenir Book" w:hAnsi="Avenir Book"/>
          <w:sz w:val="22"/>
          <w:szCs w:val="22"/>
        </w:rPr>
        <w:t xml:space="preserve">–86. </w:t>
      </w:r>
      <w:r w:rsidR="00644422" w:rsidRPr="00811951">
        <w:rPr>
          <w:rFonts w:ascii="Avenir Book" w:hAnsi="Avenir Book"/>
          <w:sz w:val="22"/>
          <w:szCs w:val="22"/>
        </w:rPr>
        <w:t>doi: 10.1016/j.biombioe</w:t>
      </w:r>
      <w:r w:rsidRPr="00811951">
        <w:rPr>
          <w:rFonts w:ascii="Avenir Book" w:hAnsi="Avenir Book"/>
          <w:sz w:val="22"/>
          <w:szCs w:val="22"/>
        </w:rPr>
        <w:t>.2016.06.003</w:t>
      </w:r>
    </w:p>
    <w:p w14:paraId="6CAEC605"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Madsen AM. Airborne endotoxin in different background environments and seasons. </w:t>
      </w:r>
      <w:r w:rsidRPr="00811951">
        <w:rPr>
          <w:rStyle w:val="Emphasis"/>
          <w:rFonts w:ascii="Avenir Book" w:hAnsi="Avenir Book"/>
          <w:sz w:val="22"/>
          <w:szCs w:val="22"/>
        </w:rPr>
        <w:t>Ann Agric Environ Med</w:t>
      </w:r>
      <w:r w:rsidRPr="00811951">
        <w:rPr>
          <w:rFonts w:ascii="Avenir Book" w:hAnsi="Avenir Book"/>
          <w:sz w:val="22"/>
          <w:szCs w:val="22"/>
        </w:rPr>
        <w:t>. 2006;13(1):81–86.</w:t>
      </w:r>
    </w:p>
    <w:p w14:paraId="07EFA76E" w14:textId="77777777" w:rsidR="00A36B72" w:rsidRPr="00811951" w:rsidRDefault="00A36B72" w:rsidP="00A81B11">
      <w:pPr>
        <w:pStyle w:val="NormalWeb"/>
        <w:numPr>
          <w:ilvl w:val="0"/>
          <w:numId w:val="10"/>
        </w:numPr>
        <w:spacing w:before="0" w:beforeAutospacing="0" w:after="0" w:afterAutospacing="0"/>
        <w:ind w:right="-5"/>
        <w:jc w:val="both"/>
        <w:rPr>
          <w:rFonts w:ascii="Avenir Book" w:hAnsi="Avenir Book"/>
          <w:sz w:val="22"/>
          <w:szCs w:val="22"/>
        </w:rPr>
      </w:pPr>
      <w:r w:rsidRPr="00811951">
        <w:rPr>
          <w:rFonts w:ascii="Avenir Book" w:hAnsi="Avenir Book"/>
          <w:sz w:val="22"/>
          <w:szCs w:val="22"/>
        </w:rPr>
        <w:t xml:space="preserve">Rolph CA, Sunderraj T, Bowatte G, Lodge K, Jalaludin B, Knibbs LD. Sources of airborne endotoxins in ambient air and exposure of nearby communities—a review. </w:t>
      </w:r>
      <w:r w:rsidRPr="00811951">
        <w:rPr>
          <w:rStyle w:val="Emphasis"/>
          <w:rFonts w:ascii="Avenir Book" w:hAnsi="Avenir Book"/>
          <w:sz w:val="22"/>
          <w:szCs w:val="22"/>
        </w:rPr>
        <w:t>Atmosphere</w:t>
      </w:r>
      <w:r w:rsidRPr="00811951">
        <w:rPr>
          <w:rFonts w:ascii="Avenir Book" w:hAnsi="Avenir Book"/>
          <w:sz w:val="22"/>
          <w:szCs w:val="22"/>
        </w:rPr>
        <w:t>. 2018;9(10):375. doi:10.3390/atmos9100375</w:t>
      </w:r>
    </w:p>
    <w:p w14:paraId="0FF6D2F2"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Semple S, Apsley A, Azmina Ibrahim T, Turner S. Airborne endotoxin concentrations in homes burning biomass fuel. </w:t>
      </w:r>
      <w:r w:rsidRPr="00811951">
        <w:rPr>
          <w:rStyle w:val="Emphasis"/>
          <w:rFonts w:ascii="Avenir Book" w:hAnsi="Avenir Book"/>
          <w:sz w:val="22"/>
          <w:szCs w:val="22"/>
        </w:rPr>
        <w:t>Environ Health Perspect</w:t>
      </w:r>
      <w:r w:rsidRPr="00811951">
        <w:rPr>
          <w:rFonts w:ascii="Avenir Book" w:hAnsi="Avenir Book"/>
          <w:sz w:val="22"/>
          <w:szCs w:val="22"/>
        </w:rPr>
        <w:t>. 2010;118(7):988–991. doi:10.1289/ehp.0901505</w:t>
      </w:r>
    </w:p>
    <w:p w14:paraId="0B07594C"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Shin SJ, Lee JY, Jeon BH, et al. Major environmental characteristics of swine husbandry that affect exposure to dust and airborne endotoxins. </w:t>
      </w:r>
      <w:r w:rsidRPr="00811951">
        <w:rPr>
          <w:rStyle w:val="Emphasis"/>
          <w:rFonts w:ascii="Avenir Book" w:hAnsi="Avenir Book"/>
          <w:sz w:val="22"/>
          <w:szCs w:val="22"/>
        </w:rPr>
        <w:t>J Toxicol Environ Health A</w:t>
      </w:r>
      <w:r w:rsidRPr="00811951">
        <w:rPr>
          <w:rFonts w:ascii="Avenir Book" w:hAnsi="Avenir Book"/>
          <w:sz w:val="22"/>
          <w:szCs w:val="22"/>
        </w:rPr>
        <w:t>. 2019;82(4):233–243. doi:10.1080/15287394.2019.1596311</w:t>
      </w:r>
    </w:p>
    <w:p w14:paraId="33F961BF"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lang w:val="fr-FR"/>
        </w:rPr>
        <w:t xml:space="preserve">Siegel PD, Olenchock SA, Sorenson WG, et al. </w:t>
      </w:r>
      <w:r w:rsidRPr="00811951">
        <w:rPr>
          <w:rFonts w:ascii="Avenir Book" w:hAnsi="Avenir Book"/>
          <w:sz w:val="22"/>
          <w:szCs w:val="22"/>
        </w:rPr>
        <w:t xml:space="preserve">Histamine and endotoxin contamination of hay and respirable hay dust. </w:t>
      </w:r>
      <w:r w:rsidRPr="00811951">
        <w:rPr>
          <w:rStyle w:val="Emphasis"/>
          <w:rFonts w:ascii="Avenir Book" w:hAnsi="Avenir Book"/>
          <w:sz w:val="22"/>
          <w:szCs w:val="22"/>
        </w:rPr>
        <w:t>Scand J Work Environ Health</w:t>
      </w:r>
      <w:r w:rsidRPr="00811951">
        <w:rPr>
          <w:rFonts w:ascii="Avenir Book" w:hAnsi="Avenir Book"/>
          <w:sz w:val="22"/>
          <w:szCs w:val="22"/>
        </w:rPr>
        <w:t>. 1991;17(4):276–280. doi:10.5271/sjweh.1705</w:t>
      </w:r>
    </w:p>
    <w:p w14:paraId="0127AB84" w14:textId="1EB88E9A"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Wheeler AJ, Stewart I, Donovan NJ, et al. Residential indoor and outdoor coarse particles and associated endotoxin exposures. </w:t>
      </w:r>
      <w:r w:rsidRPr="00811951">
        <w:rPr>
          <w:rStyle w:val="Emphasis"/>
          <w:rFonts w:ascii="Avenir Book" w:hAnsi="Avenir Book"/>
          <w:sz w:val="22"/>
          <w:szCs w:val="22"/>
        </w:rPr>
        <w:t>Atmos Environ</w:t>
      </w:r>
      <w:r w:rsidRPr="00811951">
        <w:rPr>
          <w:rFonts w:ascii="Avenir Book" w:hAnsi="Avenir Book"/>
          <w:sz w:val="22"/>
          <w:szCs w:val="22"/>
        </w:rPr>
        <w:t xml:space="preserve">. 2011;45(39):7064–7071. </w:t>
      </w:r>
      <w:r w:rsidR="00644422" w:rsidRPr="00811951">
        <w:rPr>
          <w:rFonts w:ascii="Avenir Book" w:hAnsi="Avenir Book"/>
          <w:sz w:val="22"/>
          <w:szCs w:val="22"/>
        </w:rPr>
        <w:t>doi: 10.1016/j.atmosenv</w:t>
      </w:r>
      <w:r w:rsidRPr="00811951">
        <w:rPr>
          <w:rFonts w:ascii="Avenir Book" w:hAnsi="Avenir Book"/>
          <w:sz w:val="22"/>
          <w:szCs w:val="22"/>
        </w:rPr>
        <w:t>.2011.09.007</w:t>
      </w:r>
    </w:p>
    <w:p w14:paraId="69EB933C"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Chhetry BS, Ahmad H, Jain R, Kumar S, Gaur R. Endotoxins affecting human health during agricultural practices: an overview. </w:t>
      </w:r>
      <w:r w:rsidRPr="00811951">
        <w:rPr>
          <w:rStyle w:val="Emphasis"/>
          <w:rFonts w:ascii="Avenir Book" w:hAnsi="Avenir Book"/>
          <w:sz w:val="22"/>
          <w:szCs w:val="22"/>
        </w:rPr>
        <w:t>ApplChem</w:t>
      </w:r>
      <w:r w:rsidRPr="00811951">
        <w:rPr>
          <w:rFonts w:ascii="Avenir Book" w:hAnsi="Avenir Book"/>
          <w:sz w:val="22"/>
          <w:szCs w:val="22"/>
        </w:rPr>
        <w:t>. 2022;3(1):11–31. doi:10.3390/applchem3010002</w:t>
      </w:r>
    </w:p>
    <w:p w14:paraId="0D7C4C0D" w14:textId="046B4C94"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Farokhi A, Heederik D, Smit LAM. Respiratory health effects of exposure to low levels of airborne </w:t>
      </w:r>
      <w:r w:rsidRPr="00811951">
        <w:rPr>
          <w:rFonts w:ascii="Avenir Book" w:hAnsi="Avenir Book"/>
          <w:sz w:val="22"/>
          <w:szCs w:val="22"/>
        </w:rPr>
        <w:t xml:space="preserve">endotoxin—a systematic review. </w:t>
      </w:r>
      <w:r w:rsidRPr="00811951">
        <w:rPr>
          <w:rStyle w:val="Emphasis"/>
          <w:rFonts w:ascii="Avenir Book" w:hAnsi="Avenir Book"/>
          <w:sz w:val="22"/>
          <w:szCs w:val="22"/>
        </w:rPr>
        <w:t>Environ Health</w:t>
      </w:r>
      <w:r w:rsidRPr="00811951">
        <w:rPr>
          <w:rFonts w:ascii="Avenir Book" w:hAnsi="Avenir Book"/>
          <w:sz w:val="22"/>
          <w:szCs w:val="22"/>
        </w:rPr>
        <w:t xml:space="preserve">. </w:t>
      </w:r>
      <w:r w:rsidR="00644422" w:rsidRPr="00811951">
        <w:rPr>
          <w:rFonts w:ascii="Avenir Book" w:hAnsi="Avenir Book"/>
          <w:sz w:val="22"/>
          <w:szCs w:val="22"/>
        </w:rPr>
        <w:t>2018; 17:36</w:t>
      </w:r>
      <w:r w:rsidRPr="00811951">
        <w:rPr>
          <w:rFonts w:ascii="Avenir Book" w:hAnsi="Avenir Book"/>
          <w:sz w:val="22"/>
          <w:szCs w:val="22"/>
        </w:rPr>
        <w:t>. doi:10.1186/s12940-018-0380-6</w:t>
      </w:r>
    </w:p>
    <w:p w14:paraId="747E5933" w14:textId="2F2AA50B"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Mendy A, Wilkerson J, Salo P, et al. Endotoxin clustering with allergens in house dust and asthma outcomes in a US national study. </w:t>
      </w:r>
      <w:r w:rsidRPr="00811951">
        <w:rPr>
          <w:rStyle w:val="Emphasis"/>
          <w:rFonts w:ascii="Avenir Book" w:hAnsi="Avenir Book"/>
          <w:sz w:val="22"/>
          <w:szCs w:val="22"/>
        </w:rPr>
        <w:t>Environ Health</w:t>
      </w:r>
      <w:r w:rsidRPr="00811951">
        <w:rPr>
          <w:rFonts w:ascii="Avenir Book" w:hAnsi="Avenir Book"/>
          <w:sz w:val="22"/>
          <w:szCs w:val="22"/>
        </w:rPr>
        <w:t xml:space="preserve">. </w:t>
      </w:r>
      <w:r w:rsidR="00644422" w:rsidRPr="00811951">
        <w:rPr>
          <w:rFonts w:ascii="Avenir Book" w:hAnsi="Avenir Book"/>
          <w:sz w:val="22"/>
          <w:szCs w:val="22"/>
        </w:rPr>
        <w:t>2020; 19:28</w:t>
      </w:r>
      <w:r w:rsidRPr="00811951">
        <w:rPr>
          <w:rFonts w:ascii="Avenir Book" w:hAnsi="Avenir Book"/>
          <w:sz w:val="22"/>
          <w:szCs w:val="22"/>
        </w:rPr>
        <w:t>. doi:10.1186/s12940-020-00584-2</w:t>
      </w:r>
    </w:p>
    <w:p w14:paraId="2E30E87F"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Thorne PS, Duchaine C. Airborne bacteria and endotoxin. In: Hurst CJ, Crawford RL, Garland JL, Lipson DA, Mills AL, Stetzenbach LD, eds. </w:t>
      </w:r>
      <w:r w:rsidRPr="00811951">
        <w:rPr>
          <w:rStyle w:val="Emphasis"/>
          <w:rFonts w:ascii="Avenir Book" w:hAnsi="Avenir Book"/>
          <w:sz w:val="22"/>
          <w:szCs w:val="22"/>
        </w:rPr>
        <w:t>Manual of Environmental Microbiology</w:t>
      </w:r>
      <w:r w:rsidRPr="00811951">
        <w:rPr>
          <w:rFonts w:ascii="Avenir Book" w:hAnsi="Avenir Book"/>
          <w:sz w:val="22"/>
          <w:szCs w:val="22"/>
        </w:rPr>
        <w:t>. 3rd ed. Washington, DC: ASM Press; 2007:989–1004.</w:t>
      </w:r>
    </w:p>
    <w:p w14:paraId="25542A6D"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Douwes J, Thorne P, Pearce N, Heederik D. Endotoxin exposure in the workplace and residential environments: an overview of the health effects. </w:t>
      </w:r>
      <w:r w:rsidRPr="00811951">
        <w:rPr>
          <w:rStyle w:val="Emphasis"/>
          <w:rFonts w:ascii="Avenir Book" w:hAnsi="Avenir Book"/>
          <w:sz w:val="22"/>
          <w:szCs w:val="22"/>
        </w:rPr>
        <w:t>Ann Agric Environ Med</w:t>
      </w:r>
      <w:r w:rsidRPr="00811951">
        <w:rPr>
          <w:rFonts w:ascii="Avenir Book" w:hAnsi="Avenir Book"/>
          <w:sz w:val="22"/>
          <w:szCs w:val="22"/>
        </w:rPr>
        <w:t>. 2002;9(2):253–268.</w:t>
      </w:r>
    </w:p>
    <w:p w14:paraId="28EC6CB8"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Shoemaker RC, Heyman A, Dorninger E, McMahon S, Lark D. A novel therapeutic approach to Parkinson's disease: using transcriptomics to identify unique patterns of gene expression including "triple positives," toll receptors, and endotoxin exposure. </w:t>
      </w:r>
      <w:r w:rsidRPr="00811951">
        <w:rPr>
          <w:rStyle w:val="Emphasis"/>
          <w:rFonts w:ascii="Avenir Book" w:hAnsi="Avenir Book"/>
          <w:sz w:val="22"/>
          <w:szCs w:val="22"/>
        </w:rPr>
        <w:t>Med Res Arch</w:t>
      </w:r>
      <w:r w:rsidRPr="00811951">
        <w:rPr>
          <w:rFonts w:ascii="Avenir Book" w:hAnsi="Avenir Book"/>
          <w:sz w:val="22"/>
          <w:szCs w:val="22"/>
        </w:rPr>
        <w:t xml:space="preserve">. 2024;12(9). Accessed July 1, 2025. </w:t>
      </w:r>
      <w:hyperlink r:id="rId31" w:tgtFrame="_new" w:history="1">
        <w:r w:rsidRPr="00811951">
          <w:rPr>
            <w:rStyle w:val="Hyperlink"/>
            <w:rFonts w:ascii="Avenir Book" w:eastAsiaTheme="majorEastAsia" w:hAnsi="Avenir Book"/>
            <w:sz w:val="22"/>
            <w:szCs w:val="22"/>
          </w:rPr>
          <w:t>https://journals.ke-i.org/index.php/mra/article/view/6652</w:t>
        </w:r>
      </w:hyperlink>
    </w:p>
    <w:p w14:paraId="11138F83" w14:textId="232F2C44"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CA7E15">
        <w:rPr>
          <w:rFonts w:ascii="Avenir Book" w:hAnsi="Avenir Book"/>
          <w:sz w:val="22"/>
          <w:szCs w:val="22"/>
          <w:lang w:val="fr-FR"/>
        </w:rPr>
        <w:t xml:space="preserve">Fei-Yong Z, Zhang O, Zhang J, Lou Z, et al. </w:t>
      </w:r>
      <w:r w:rsidRPr="00811951">
        <w:rPr>
          <w:rFonts w:ascii="Avenir Book" w:hAnsi="Avenir Book"/>
          <w:sz w:val="22"/>
          <w:szCs w:val="22"/>
        </w:rPr>
        <w:t xml:space="preserve">The synergy of aging and LPS exposure in a mouse model of Parkinson's disease. </w:t>
      </w:r>
      <w:r w:rsidRPr="00811951">
        <w:rPr>
          <w:rStyle w:val="Emphasis"/>
          <w:rFonts w:ascii="Avenir Book" w:hAnsi="Avenir Book"/>
          <w:sz w:val="22"/>
          <w:szCs w:val="22"/>
        </w:rPr>
        <w:t>Aging Dis</w:t>
      </w:r>
      <w:r w:rsidRPr="00811951">
        <w:rPr>
          <w:rFonts w:ascii="Avenir Book" w:hAnsi="Avenir Book"/>
          <w:sz w:val="22"/>
          <w:szCs w:val="22"/>
        </w:rPr>
        <w:t xml:space="preserve">. </w:t>
      </w:r>
      <w:r w:rsidR="00644422" w:rsidRPr="00811951">
        <w:rPr>
          <w:rFonts w:ascii="Avenir Book" w:hAnsi="Avenir Book"/>
          <w:sz w:val="22"/>
          <w:szCs w:val="22"/>
        </w:rPr>
        <w:t>2018; 5:785</w:t>
      </w:r>
      <w:r w:rsidRPr="00811951">
        <w:rPr>
          <w:rFonts w:ascii="Avenir Book" w:hAnsi="Avenir Book"/>
          <w:sz w:val="22"/>
          <w:szCs w:val="22"/>
        </w:rPr>
        <w:t>–797. doi:10.14336/AD.2018.0706</w:t>
      </w:r>
    </w:p>
    <w:p w14:paraId="36753EB3" w14:textId="26AAF0D4"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Brown G. The endotoxin hypothesis of neurodegeneration. </w:t>
      </w:r>
      <w:r w:rsidRPr="00811951">
        <w:rPr>
          <w:rStyle w:val="Emphasis"/>
          <w:rFonts w:ascii="Avenir Book" w:hAnsi="Avenir Book"/>
          <w:sz w:val="22"/>
          <w:szCs w:val="22"/>
        </w:rPr>
        <w:t>J Neuroinflammation</w:t>
      </w:r>
      <w:r w:rsidRPr="00811951">
        <w:rPr>
          <w:rFonts w:ascii="Avenir Book" w:hAnsi="Avenir Book"/>
          <w:sz w:val="22"/>
          <w:szCs w:val="22"/>
        </w:rPr>
        <w:t xml:space="preserve">. </w:t>
      </w:r>
      <w:r w:rsidR="00644422" w:rsidRPr="00811951">
        <w:rPr>
          <w:rFonts w:ascii="Avenir Book" w:hAnsi="Avenir Book"/>
          <w:sz w:val="22"/>
          <w:szCs w:val="22"/>
        </w:rPr>
        <w:t>2019; 16:180</w:t>
      </w:r>
      <w:r w:rsidRPr="00811951">
        <w:rPr>
          <w:rFonts w:ascii="Avenir Book" w:hAnsi="Avenir Book"/>
          <w:sz w:val="22"/>
          <w:szCs w:val="22"/>
        </w:rPr>
        <w:t>. doi:10.1186/s12974-019-1575-2</w:t>
      </w:r>
    </w:p>
    <w:p w14:paraId="4AF33603"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lang w:val="pt-BR"/>
        </w:rPr>
        <w:t xml:space="preserve">Batista C, Gomes G, Candelario-Jalil E, Fiebich B, et al. </w:t>
      </w:r>
      <w:r w:rsidRPr="00811951">
        <w:rPr>
          <w:rFonts w:ascii="Avenir Book" w:hAnsi="Avenir Book"/>
          <w:sz w:val="22"/>
          <w:szCs w:val="22"/>
        </w:rPr>
        <w:t xml:space="preserve">Lipopolysaccharide-induced neuroinflammation as a bridge to understand neurodegeneration. </w:t>
      </w:r>
      <w:r w:rsidRPr="00811951">
        <w:rPr>
          <w:rStyle w:val="Emphasis"/>
          <w:rFonts w:ascii="Avenir Book" w:hAnsi="Avenir Book"/>
          <w:sz w:val="22"/>
          <w:szCs w:val="22"/>
        </w:rPr>
        <w:t>Int J Mol Sci</w:t>
      </w:r>
      <w:r w:rsidRPr="00811951">
        <w:rPr>
          <w:rFonts w:ascii="Avenir Book" w:hAnsi="Avenir Book"/>
          <w:sz w:val="22"/>
          <w:szCs w:val="22"/>
        </w:rPr>
        <w:t>. 2019;20(9):2293. doi:10.3390/ijms20092293</w:t>
      </w:r>
    </w:p>
    <w:p w14:paraId="6F6BFAE3" w14:textId="260609EA"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lang w:val="fr-FR"/>
        </w:rPr>
        <w:t xml:space="preserve">Gu C, Wang F, Zhang Y, et al. </w:t>
      </w:r>
      <w:r w:rsidRPr="00811951">
        <w:rPr>
          <w:rFonts w:ascii="Avenir Book" w:hAnsi="Avenir Book"/>
          <w:sz w:val="22"/>
          <w:szCs w:val="22"/>
        </w:rPr>
        <w:t xml:space="preserve">Microglial MT1 activation inhibits LPS-induced neuroinflammation via regulation of metabolic reprogramming. </w:t>
      </w:r>
      <w:r w:rsidRPr="00811951">
        <w:rPr>
          <w:rStyle w:val="Emphasis"/>
          <w:rFonts w:ascii="Avenir Book" w:hAnsi="Avenir Book"/>
          <w:sz w:val="22"/>
          <w:szCs w:val="22"/>
        </w:rPr>
        <w:t>Aging Cell</w:t>
      </w:r>
      <w:r w:rsidRPr="00811951">
        <w:rPr>
          <w:rFonts w:ascii="Avenir Book" w:hAnsi="Avenir Book"/>
          <w:sz w:val="22"/>
          <w:szCs w:val="22"/>
        </w:rPr>
        <w:t>. 2021;20(4</w:t>
      </w:r>
      <w:r w:rsidR="00644422" w:rsidRPr="00811951">
        <w:rPr>
          <w:rFonts w:ascii="Avenir Book" w:hAnsi="Avenir Book"/>
          <w:sz w:val="22"/>
          <w:szCs w:val="22"/>
        </w:rPr>
        <w:t>): e</w:t>
      </w:r>
      <w:r w:rsidRPr="00811951">
        <w:rPr>
          <w:rFonts w:ascii="Avenir Book" w:hAnsi="Avenir Book"/>
          <w:sz w:val="22"/>
          <w:szCs w:val="22"/>
        </w:rPr>
        <w:t>13375. doi:10.1111/acel.13375</w:t>
      </w:r>
    </w:p>
    <w:p w14:paraId="1C84C297"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Wu L, Block M, Breese G, et al. Systemic LPS causes chronic neuroinflammation and progressive neurodegeneration. </w:t>
      </w:r>
      <w:r w:rsidRPr="00811951">
        <w:rPr>
          <w:rStyle w:val="Emphasis"/>
          <w:rFonts w:ascii="Avenir Book" w:hAnsi="Avenir Book"/>
          <w:sz w:val="22"/>
          <w:szCs w:val="22"/>
        </w:rPr>
        <w:t>Glia</w:t>
      </w:r>
      <w:r w:rsidRPr="00811951">
        <w:rPr>
          <w:rFonts w:ascii="Avenir Book" w:hAnsi="Avenir Book"/>
          <w:sz w:val="22"/>
          <w:szCs w:val="22"/>
        </w:rPr>
        <w:t>. 2007;55(5):453–462. doi:10.1002/glia.20467</w:t>
      </w:r>
    </w:p>
    <w:p w14:paraId="2C29D287"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Skrzypczak-Wiercioch A, Salat K. Lipopolysaccharide-induced model neuroinflammation: mechanisms of action, research application and future directions for its use. </w:t>
      </w:r>
      <w:r w:rsidRPr="00811951">
        <w:rPr>
          <w:rStyle w:val="Emphasis"/>
          <w:rFonts w:ascii="Avenir Book" w:hAnsi="Avenir Book"/>
          <w:sz w:val="22"/>
          <w:szCs w:val="22"/>
        </w:rPr>
        <w:t>Molecules</w:t>
      </w:r>
      <w:r w:rsidRPr="00811951">
        <w:rPr>
          <w:rFonts w:ascii="Avenir Book" w:hAnsi="Avenir Book"/>
          <w:sz w:val="22"/>
          <w:szCs w:val="22"/>
        </w:rPr>
        <w:t>. 2022;27(2):548. doi:10.3390/molecules27020548</w:t>
      </w:r>
    </w:p>
    <w:p w14:paraId="5B7E5D4F"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lang w:val="fr-FR"/>
        </w:rPr>
        <w:t xml:space="preserve">Bai L, Zhang X, Li X, et al. </w:t>
      </w:r>
      <w:r w:rsidRPr="00811951">
        <w:rPr>
          <w:rFonts w:ascii="Avenir Book" w:hAnsi="Avenir Book"/>
          <w:sz w:val="22"/>
          <w:szCs w:val="22"/>
        </w:rPr>
        <w:t xml:space="preserve">Somatostatin prevents LPS-induced neurodegeneration in the rat substantia nigra by inhibiting the action of microglia. </w:t>
      </w:r>
      <w:r w:rsidRPr="00811951">
        <w:rPr>
          <w:rStyle w:val="Emphasis"/>
          <w:rFonts w:ascii="Avenir Book" w:hAnsi="Avenir Book"/>
          <w:sz w:val="22"/>
          <w:szCs w:val="22"/>
        </w:rPr>
        <w:t>Mol Med Rep</w:t>
      </w:r>
      <w:r w:rsidRPr="00811951">
        <w:rPr>
          <w:rFonts w:ascii="Avenir Book" w:hAnsi="Avenir Book"/>
          <w:sz w:val="22"/>
          <w:szCs w:val="22"/>
        </w:rPr>
        <w:t>. 2015;12(1):1002–1008. doi:10.3892/mmr.2015.3516</w:t>
      </w:r>
    </w:p>
    <w:p w14:paraId="19CE787E"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U.S. Food and Drug Administration. </w:t>
      </w:r>
      <w:r w:rsidRPr="00811951">
        <w:rPr>
          <w:rFonts w:ascii="Avenir Book" w:hAnsi="Avenir Book"/>
          <w:i/>
          <w:iCs/>
          <w:sz w:val="22"/>
          <w:szCs w:val="22"/>
        </w:rPr>
        <w:t>Bacterial Endotoxins/Pyrogens (USP &lt;85&gt;)</w:t>
      </w:r>
      <w:r w:rsidRPr="00811951">
        <w:rPr>
          <w:rFonts w:ascii="Avenir Book" w:eastAsiaTheme="majorEastAsia" w:hAnsi="Avenir Book"/>
          <w:sz w:val="22"/>
          <w:szCs w:val="22"/>
        </w:rPr>
        <w:t xml:space="preserve">. FDA. Accessed June 20, 2025. </w:t>
      </w:r>
      <w:hyperlink r:id="rId32" w:tgtFrame="_new" w:history="1">
        <w:r w:rsidRPr="00811951">
          <w:rPr>
            <w:rStyle w:val="Hyperlink"/>
            <w:rFonts w:ascii="Avenir Book" w:hAnsi="Avenir Book"/>
            <w:sz w:val="22"/>
            <w:szCs w:val="22"/>
          </w:rPr>
          <w:t>https://www.fda.gov/media/83477/download</w:t>
        </w:r>
      </w:hyperlink>
    </w:p>
    <w:p w14:paraId="20F1369E" w14:textId="4A4FF2AC"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Maloney J, Nguyen HM, McMahon S. Use of recombinant factor C (rFC) assay in endotoxin testing: an alternative to Limulus amebocyte lysate. </w:t>
      </w:r>
      <w:r w:rsidRPr="00811951">
        <w:rPr>
          <w:rFonts w:ascii="Avenir Book" w:hAnsi="Avenir Book"/>
          <w:i/>
          <w:iCs/>
          <w:sz w:val="22"/>
          <w:szCs w:val="22"/>
        </w:rPr>
        <w:t>J Pharm Sci</w:t>
      </w:r>
      <w:r w:rsidRPr="00811951">
        <w:rPr>
          <w:rFonts w:ascii="Avenir Book" w:eastAsiaTheme="majorEastAsia" w:hAnsi="Avenir Book"/>
          <w:sz w:val="22"/>
          <w:szCs w:val="22"/>
        </w:rPr>
        <w:t xml:space="preserve">. 2021;110(4):1453–1459. </w:t>
      </w:r>
      <w:r w:rsidR="00644422" w:rsidRPr="00811951">
        <w:rPr>
          <w:rFonts w:ascii="Avenir Book" w:eastAsiaTheme="majorEastAsia" w:hAnsi="Avenir Book"/>
          <w:sz w:val="22"/>
          <w:szCs w:val="22"/>
        </w:rPr>
        <w:t>doi: 10.1016/j.xph</w:t>
      </w:r>
      <w:r w:rsidR="00644422" w:rsidRPr="00811951">
        <w:rPr>
          <w:rFonts w:ascii="Avenir Book" w:eastAsiaTheme="majorEastAsia" w:hAnsi="Avenir Book" w:hint="eastAsia"/>
          <w:sz w:val="22"/>
          <w:szCs w:val="22"/>
        </w:rPr>
        <w:t>s</w:t>
      </w:r>
      <w:r w:rsidRPr="00811951">
        <w:rPr>
          <w:rFonts w:ascii="Avenir Book" w:eastAsiaTheme="majorEastAsia" w:hAnsi="Avenir Book"/>
          <w:sz w:val="22"/>
          <w:szCs w:val="22"/>
        </w:rPr>
        <w:t>.2020.12.012</w:t>
      </w:r>
    </w:p>
    <w:p w14:paraId="60C911C1"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Style w:val="cf01"/>
          <w:rFonts w:ascii="Avenir Book" w:eastAsiaTheme="majorEastAsia" w:hAnsi="Avenir Book" w:cs="Times New Roman"/>
          <w:sz w:val="22"/>
          <w:szCs w:val="22"/>
        </w:rPr>
        <w:lastRenderedPageBreak/>
        <w:t>Laitinen, Sirpa, et al. "Exposure to Biological and Chemical Agents at Biomass Power Plants." Biomass and Bioenergy, vol. 93, 2016, pp. 78–86.</w:t>
      </w:r>
    </w:p>
    <w:p w14:paraId="1CBB0876"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Dungan RS, Leytem AB. Airborne endotoxin concentrations at a large open-lot dairy in southern Idaho. </w:t>
      </w:r>
      <w:r w:rsidRPr="00811951">
        <w:rPr>
          <w:rStyle w:val="Emphasis"/>
          <w:rFonts w:ascii="Avenir Book" w:hAnsi="Avenir Book"/>
          <w:sz w:val="22"/>
          <w:szCs w:val="22"/>
        </w:rPr>
        <w:t>J Environ Qual</w:t>
      </w:r>
      <w:r w:rsidRPr="00811951">
        <w:rPr>
          <w:rFonts w:ascii="Avenir Book" w:hAnsi="Avenir Book"/>
          <w:sz w:val="22"/>
          <w:szCs w:val="22"/>
        </w:rPr>
        <w:t>. 2009;38(5):1919–1923. doi:10.2134/jeq2008.0422</w:t>
      </w:r>
    </w:p>
    <w:p w14:paraId="4E404732" w14:textId="087D47EC"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Shin SJ, Choi SJ, Lee CH, et al. Major environmental characteristics of swine husbandry that affect exposure to dust and airborne endotoxins. </w:t>
      </w:r>
      <w:r w:rsidRPr="00811951">
        <w:rPr>
          <w:rStyle w:val="Emphasis"/>
          <w:rFonts w:ascii="Avenir Book" w:hAnsi="Avenir Book"/>
          <w:sz w:val="22"/>
          <w:szCs w:val="22"/>
        </w:rPr>
        <w:t>J Toxicol Environ Health A</w:t>
      </w:r>
      <w:r w:rsidRPr="00811951">
        <w:rPr>
          <w:rFonts w:ascii="Avenir Book" w:hAnsi="Avenir Book"/>
          <w:sz w:val="22"/>
          <w:szCs w:val="22"/>
        </w:rPr>
        <w:t>. 2019;82(4):233–243.</w:t>
      </w:r>
      <w:r w:rsidR="00545464">
        <w:rPr>
          <w:rFonts w:ascii="Avenir Book" w:hAnsi="Avenir Book"/>
          <w:sz w:val="22"/>
          <w:szCs w:val="22"/>
        </w:rPr>
        <w:tab/>
      </w:r>
      <w:r w:rsidRPr="00811951">
        <w:rPr>
          <w:rFonts w:ascii="Avenir Book" w:hAnsi="Avenir Book"/>
          <w:sz w:val="22"/>
          <w:szCs w:val="22"/>
        </w:rPr>
        <w:t xml:space="preserve"> doi:10.1080/15287394.2019.1592100</w:t>
      </w:r>
    </w:p>
    <w:p w14:paraId="12F82913" w14:textId="63805076"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BC63BC">
        <w:rPr>
          <w:rFonts w:ascii="Avenir Book" w:eastAsiaTheme="majorEastAsia" w:hAnsi="Avenir Book" w:hint="eastAsia"/>
          <w:sz w:val="22"/>
          <w:szCs w:val="22"/>
        </w:rPr>
        <w:t xml:space="preserve"> </w:t>
      </w:r>
      <w:r w:rsidR="00644422" w:rsidRPr="00811951">
        <w:rPr>
          <w:rFonts w:ascii="Avenir Book" w:eastAsiaTheme="majorEastAsia" w:hAnsi="Avenir Book"/>
          <w:sz w:val="22"/>
          <w:szCs w:val="22"/>
          <w:lang w:val="fr-FR"/>
        </w:rPr>
        <w:t>De</w:t>
      </w:r>
      <w:r w:rsidRPr="00811951">
        <w:rPr>
          <w:rFonts w:ascii="Avenir Book" w:eastAsiaTheme="majorEastAsia" w:hAnsi="Avenir Book"/>
          <w:sz w:val="22"/>
          <w:szCs w:val="22"/>
          <w:lang w:val="fr-FR"/>
        </w:rPr>
        <w:t xml:space="preserve"> Rooij MMT, Smit LAM, Erbrink M, et al. </w:t>
      </w:r>
      <w:r w:rsidRPr="00811951">
        <w:rPr>
          <w:rFonts w:ascii="Avenir Book" w:eastAsiaTheme="majorEastAsia" w:hAnsi="Avenir Book"/>
          <w:sz w:val="22"/>
          <w:szCs w:val="22"/>
        </w:rPr>
        <w:t xml:space="preserve">Short-term residential exposure to endotoxin emitted from livestock farms in relation to lung function in non-farming residents. </w:t>
      </w:r>
      <w:r w:rsidRPr="00811951">
        <w:rPr>
          <w:rFonts w:ascii="Avenir Book" w:hAnsi="Avenir Book"/>
          <w:i/>
          <w:iCs/>
          <w:sz w:val="22"/>
          <w:szCs w:val="22"/>
        </w:rPr>
        <w:t>Environ Res</w:t>
      </w:r>
      <w:r w:rsidRPr="00811951">
        <w:rPr>
          <w:rFonts w:ascii="Avenir Book" w:eastAsiaTheme="majorEastAsia" w:hAnsi="Avenir Book"/>
          <w:sz w:val="22"/>
          <w:szCs w:val="22"/>
        </w:rPr>
        <w:t xml:space="preserve">. </w:t>
      </w:r>
      <w:r w:rsidR="00644422" w:rsidRPr="00811951">
        <w:rPr>
          <w:rFonts w:ascii="Avenir Book" w:eastAsiaTheme="majorEastAsia" w:hAnsi="Avenir Book"/>
          <w:sz w:val="22"/>
          <w:szCs w:val="22"/>
        </w:rPr>
        <w:t>2024; 243:11782</w:t>
      </w:r>
      <w:r w:rsidR="00644422" w:rsidRPr="00811951">
        <w:rPr>
          <w:rFonts w:ascii="Avenir Book" w:eastAsiaTheme="majorEastAsia" w:hAnsi="Avenir Book" w:hint="eastAsia"/>
          <w:sz w:val="22"/>
          <w:szCs w:val="22"/>
        </w:rPr>
        <w:t>1</w:t>
      </w:r>
      <w:r w:rsidRPr="00811951">
        <w:rPr>
          <w:rFonts w:ascii="Avenir Book" w:eastAsiaTheme="majorEastAsia" w:hAnsi="Avenir Book"/>
          <w:sz w:val="22"/>
          <w:szCs w:val="22"/>
        </w:rPr>
        <w:t xml:space="preserve">. </w:t>
      </w:r>
      <w:r w:rsidR="00644422" w:rsidRPr="00811951">
        <w:rPr>
          <w:rFonts w:ascii="Avenir Book" w:eastAsiaTheme="majorEastAsia" w:hAnsi="Avenir Book"/>
          <w:sz w:val="22"/>
          <w:szCs w:val="22"/>
        </w:rPr>
        <w:t>doi: 10.1016/j.envre</w:t>
      </w:r>
      <w:r w:rsidR="00644422" w:rsidRPr="00811951">
        <w:rPr>
          <w:rFonts w:ascii="Avenir Book" w:eastAsiaTheme="majorEastAsia" w:hAnsi="Avenir Book" w:hint="eastAsia"/>
          <w:sz w:val="22"/>
          <w:szCs w:val="22"/>
        </w:rPr>
        <w:t>s</w:t>
      </w:r>
      <w:r w:rsidRPr="00811951">
        <w:rPr>
          <w:rFonts w:ascii="Avenir Book" w:eastAsiaTheme="majorEastAsia" w:hAnsi="Avenir Book"/>
          <w:sz w:val="22"/>
          <w:szCs w:val="22"/>
        </w:rPr>
        <w:t>.2024.117821</w:t>
      </w:r>
    </w:p>
    <w:p w14:paraId="554C848F" w14:textId="58FB9608" w:rsidR="00A36B72" w:rsidRPr="00811951" w:rsidRDefault="0064442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lang w:val="fr-FR"/>
        </w:rPr>
        <w:t>De</w:t>
      </w:r>
      <w:r w:rsidR="00A36B72" w:rsidRPr="00811951">
        <w:rPr>
          <w:rFonts w:ascii="Avenir Book" w:eastAsiaTheme="majorEastAsia" w:hAnsi="Avenir Book"/>
          <w:sz w:val="22"/>
          <w:szCs w:val="22"/>
          <w:lang w:val="fr-FR"/>
        </w:rPr>
        <w:t xml:space="preserve"> Rooij MMT, Smit LAM, Erbrink M, et al. </w:t>
      </w:r>
      <w:r w:rsidR="00A36B72" w:rsidRPr="00811951">
        <w:rPr>
          <w:rFonts w:ascii="Avenir Book" w:eastAsiaTheme="majorEastAsia" w:hAnsi="Avenir Book"/>
          <w:sz w:val="22"/>
          <w:szCs w:val="22"/>
        </w:rPr>
        <w:t xml:space="preserve">Endotoxin and particulate matter emitted by livestock farms and respiratory health effects in neighboring residents. </w:t>
      </w:r>
      <w:r w:rsidR="00A36B72" w:rsidRPr="00811951">
        <w:rPr>
          <w:rFonts w:ascii="Avenir Book" w:eastAsiaTheme="majorEastAsia" w:hAnsi="Avenir Book"/>
          <w:i/>
          <w:iCs/>
          <w:sz w:val="22"/>
          <w:szCs w:val="22"/>
        </w:rPr>
        <w:t>Environ Int</w:t>
      </w:r>
      <w:r w:rsidR="00A36B72" w:rsidRPr="00811951">
        <w:rPr>
          <w:rFonts w:ascii="Avenir Book" w:eastAsiaTheme="majorEastAsia" w:hAnsi="Avenir Book"/>
          <w:sz w:val="22"/>
          <w:szCs w:val="22"/>
        </w:rPr>
        <w:t xml:space="preserve">. </w:t>
      </w:r>
      <w:r w:rsidRPr="00811951">
        <w:rPr>
          <w:rFonts w:ascii="Avenir Book" w:eastAsiaTheme="majorEastAsia" w:hAnsi="Avenir Book"/>
          <w:sz w:val="22"/>
          <w:szCs w:val="22"/>
        </w:rPr>
        <w:t>2019; 132:10500</w:t>
      </w:r>
      <w:r w:rsidRPr="00811951">
        <w:rPr>
          <w:rFonts w:ascii="Avenir Book" w:eastAsiaTheme="majorEastAsia" w:hAnsi="Avenir Book" w:hint="eastAsia"/>
          <w:sz w:val="22"/>
          <w:szCs w:val="22"/>
        </w:rPr>
        <w:t>9</w:t>
      </w:r>
      <w:r w:rsidR="00A36B72" w:rsidRPr="00811951">
        <w:rPr>
          <w:rFonts w:ascii="Avenir Book" w:eastAsiaTheme="majorEastAsia" w:hAnsi="Avenir Book"/>
          <w:sz w:val="22"/>
          <w:szCs w:val="22"/>
        </w:rPr>
        <w:t xml:space="preserve">. </w:t>
      </w:r>
      <w:r w:rsidRPr="00811951">
        <w:rPr>
          <w:rFonts w:ascii="Avenir Book" w:eastAsiaTheme="majorEastAsia" w:hAnsi="Avenir Book"/>
          <w:sz w:val="22"/>
          <w:szCs w:val="22"/>
        </w:rPr>
        <w:t>doi: 10.1016/j.envin</w:t>
      </w:r>
      <w:r w:rsidRPr="00811951">
        <w:rPr>
          <w:rFonts w:ascii="Avenir Book" w:eastAsiaTheme="majorEastAsia" w:hAnsi="Avenir Book" w:hint="eastAsia"/>
          <w:sz w:val="22"/>
          <w:szCs w:val="22"/>
        </w:rPr>
        <w:t>t</w:t>
      </w:r>
      <w:r w:rsidR="00A36B72" w:rsidRPr="00811951">
        <w:rPr>
          <w:rFonts w:ascii="Avenir Book" w:eastAsiaTheme="majorEastAsia" w:hAnsi="Avenir Book"/>
          <w:sz w:val="22"/>
          <w:szCs w:val="22"/>
        </w:rPr>
        <w:t>.2019.105009</w:t>
      </w:r>
    </w:p>
    <w:p w14:paraId="738646CD" w14:textId="31EB69A6"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Farokhi A, Heederik D, Smit LAM. Respiratory health effects of exposure to low levels of airborne endotoxin—a systematic review. </w:t>
      </w:r>
      <w:r w:rsidRPr="00811951">
        <w:rPr>
          <w:rFonts w:ascii="Avenir Book" w:eastAsiaTheme="majorEastAsia" w:hAnsi="Avenir Book"/>
          <w:i/>
          <w:iCs/>
          <w:sz w:val="22"/>
          <w:szCs w:val="22"/>
        </w:rPr>
        <w:t>Environ Health</w:t>
      </w:r>
      <w:r w:rsidRPr="00811951">
        <w:rPr>
          <w:rFonts w:ascii="Avenir Book" w:eastAsiaTheme="majorEastAsia" w:hAnsi="Avenir Book"/>
          <w:sz w:val="22"/>
          <w:szCs w:val="22"/>
        </w:rPr>
        <w:t xml:space="preserve">. </w:t>
      </w:r>
      <w:r w:rsidR="00644422" w:rsidRPr="00811951">
        <w:rPr>
          <w:rFonts w:ascii="Avenir Book" w:eastAsiaTheme="majorEastAsia" w:hAnsi="Avenir Book"/>
          <w:sz w:val="22"/>
          <w:szCs w:val="22"/>
        </w:rPr>
        <w:t>2018; 17:1</w:t>
      </w:r>
      <w:r w:rsidR="00644422" w:rsidRPr="00811951">
        <w:rPr>
          <w:rFonts w:ascii="Avenir Book" w:eastAsiaTheme="majorEastAsia" w:hAnsi="Avenir Book" w:hint="eastAsia"/>
          <w:sz w:val="22"/>
          <w:szCs w:val="22"/>
        </w:rPr>
        <w:t>4</w:t>
      </w:r>
      <w:r w:rsidRPr="00811951">
        <w:rPr>
          <w:rFonts w:ascii="Avenir Book" w:eastAsiaTheme="majorEastAsia" w:hAnsi="Avenir Book"/>
          <w:sz w:val="22"/>
          <w:szCs w:val="22"/>
        </w:rPr>
        <w:t>. doi:10.1186/s12940-018-0360-3</w:t>
      </w:r>
    </w:p>
    <w:p w14:paraId="0157130C"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Park JH, Spiegelman DL, Gold DR, Burge HA, Milton DK. Predictors of airborne endotoxin in the home. </w:t>
      </w:r>
      <w:r w:rsidRPr="00811951">
        <w:rPr>
          <w:rFonts w:ascii="Avenir Book" w:hAnsi="Avenir Book"/>
          <w:i/>
          <w:iCs/>
          <w:sz w:val="22"/>
          <w:szCs w:val="22"/>
        </w:rPr>
        <w:t>Environ Health Perspect</w:t>
      </w:r>
      <w:r w:rsidRPr="00811951">
        <w:rPr>
          <w:rFonts w:ascii="Avenir Book" w:eastAsiaTheme="majorEastAsia" w:hAnsi="Avenir Book"/>
          <w:sz w:val="22"/>
          <w:szCs w:val="22"/>
        </w:rPr>
        <w:t>. 2001;109(8):859–864. doi:10.1289/ehp.01109859</w:t>
      </w:r>
    </w:p>
    <w:p w14:paraId="04826E7B" w14:textId="08362DDD"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lang w:val="fr-FR"/>
        </w:rPr>
        <w:t xml:space="preserve">Wheeler AJ, Wallace LA, Kearney J, et al. </w:t>
      </w:r>
      <w:r w:rsidRPr="00811951">
        <w:rPr>
          <w:rFonts w:ascii="Avenir Book" w:eastAsiaTheme="majorEastAsia" w:hAnsi="Avenir Book"/>
          <w:sz w:val="22"/>
          <w:szCs w:val="22"/>
        </w:rPr>
        <w:t xml:space="preserve">Residential indoor and outdoor coarse particles and associated endotoxin exposures. </w:t>
      </w:r>
      <w:r w:rsidRPr="00811951">
        <w:rPr>
          <w:rFonts w:ascii="Avenir Book" w:hAnsi="Avenir Book"/>
          <w:i/>
          <w:iCs/>
          <w:sz w:val="22"/>
          <w:szCs w:val="22"/>
        </w:rPr>
        <w:t>Atmos Environ</w:t>
      </w:r>
      <w:r w:rsidRPr="00811951">
        <w:rPr>
          <w:rFonts w:ascii="Avenir Book" w:eastAsiaTheme="majorEastAsia" w:hAnsi="Avenir Book"/>
          <w:sz w:val="22"/>
          <w:szCs w:val="22"/>
        </w:rPr>
        <w:t xml:space="preserve">. 2011;45(39):7064–7071. </w:t>
      </w:r>
      <w:r w:rsidR="00644422" w:rsidRPr="00811951">
        <w:rPr>
          <w:rFonts w:ascii="Avenir Book" w:eastAsiaTheme="majorEastAsia" w:hAnsi="Avenir Book"/>
          <w:sz w:val="22"/>
          <w:szCs w:val="22"/>
        </w:rPr>
        <w:t>doi: 10.1016/j.atmosen</w:t>
      </w:r>
      <w:r w:rsidR="00644422" w:rsidRPr="00811951">
        <w:rPr>
          <w:rFonts w:ascii="Avenir Book" w:eastAsiaTheme="majorEastAsia" w:hAnsi="Avenir Book" w:hint="eastAsia"/>
          <w:sz w:val="22"/>
          <w:szCs w:val="22"/>
        </w:rPr>
        <w:t>v</w:t>
      </w:r>
      <w:r w:rsidRPr="00811951">
        <w:rPr>
          <w:rFonts w:ascii="Avenir Book" w:eastAsiaTheme="majorEastAsia" w:hAnsi="Avenir Book"/>
          <w:sz w:val="22"/>
          <w:szCs w:val="22"/>
        </w:rPr>
        <w:t>.2011.09.005</w:t>
      </w:r>
    </w:p>
    <w:p w14:paraId="1AD5243A" w14:textId="77777777"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Rioufol C, Devys C, Meunier G, Perraud M, Goullet D. Quantitative determination of endotoxins released by bacterial biofilms. </w:t>
      </w:r>
      <w:r w:rsidRPr="00811951">
        <w:rPr>
          <w:rStyle w:val="Emphasis"/>
          <w:rFonts w:ascii="Avenir Book" w:hAnsi="Avenir Book"/>
          <w:sz w:val="22"/>
          <w:szCs w:val="22"/>
        </w:rPr>
        <w:t>J Hosp Infect</w:t>
      </w:r>
      <w:r w:rsidRPr="00811951">
        <w:rPr>
          <w:rFonts w:ascii="Avenir Book" w:hAnsi="Avenir Book"/>
          <w:sz w:val="22"/>
          <w:szCs w:val="22"/>
        </w:rPr>
        <w:t>. 1999;43(3):203–209. doi:10.1053/jhin.1999.0673</w:t>
      </w:r>
    </w:p>
    <w:p w14:paraId="7DDB853D" w14:textId="7A4D5768" w:rsidR="00A36B72" w:rsidRPr="00811951" w:rsidRDefault="00A36B72" w:rsidP="00A81B11">
      <w:pPr>
        <w:pStyle w:val="NormalWeb"/>
        <w:numPr>
          <w:ilvl w:val="0"/>
          <w:numId w:val="10"/>
        </w:numPr>
        <w:tabs>
          <w:tab w:val="left" w:pos="720"/>
        </w:tabs>
        <w:spacing w:before="0" w:beforeAutospacing="0" w:after="0" w:afterAutospacing="0"/>
        <w:ind w:left="450" w:right="-5" w:hanging="450"/>
        <w:jc w:val="both"/>
        <w:rPr>
          <w:rFonts w:ascii="Avenir Book" w:hAnsi="Avenir Book"/>
          <w:sz w:val="22"/>
          <w:szCs w:val="22"/>
        </w:rPr>
      </w:pPr>
      <w:r w:rsidRPr="00811951">
        <w:rPr>
          <w:rFonts w:ascii="Avenir Book" w:hAnsi="Avenir Book"/>
          <w:sz w:val="22"/>
          <w:szCs w:val="22"/>
        </w:rPr>
        <w:t xml:space="preserve">Ledwoch K, Dancer SJ, Otter JA, Kerr K, Randle J. </w:t>
      </w:r>
      <w:r w:rsidR="00644422" w:rsidRPr="00811951">
        <w:rPr>
          <w:rFonts w:ascii="Avenir Book" w:hAnsi="Avenir Book"/>
          <w:sz w:val="22"/>
          <w:szCs w:val="22"/>
        </w:rPr>
        <w:t>It is</w:t>
      </w:r>
      <w:r w:rsidRPr="00811951">
        <w:rPr>
          <w:rFonts w:ascii="Avenir Book" w:hAnsi="Avenir Book"/>
          <w:sz w:val="22"/>
          <w:szCs w:val="22"/>
        </w:rPr>
        <w:t xml:space="preserve"> a trap! The development of a versatile drain biofilm model and its susceptibility to disinfection. </w:t>
      </w:r>
      <w:r w:rsidRPr="00811951">
        <w:rPr>
          <w:rStyle w:val="Emphasis"/>
          <w:rFonts w:ascii="Avenir Book" w:hAnsi="Avenir Book"/>
          <w:sz w:val="22"/>
          <w:szCs w:val="22"/>
        </w:rPr>
        <w:t>J Hosp Infect</w:t>
      </w:r>
      <w:r w:rsidRPr="00811951">
        <w:rPr>
          <w:rFonts w:ascii="Avenir Book" w:hAnsi="Avenir Book"/>
          <w:sz w:val="22"/>
          <w:szCs w:val="22"/>
        </w:rPr>
        <w:t xml:space="preserve">. 2020;106(4):757–764. </w:t>
      </w:r>
      <w:r w:rsidR="00644422" w:rsidRPr="00811951">
        <w:rPr>
          <w:rFonts w:ascii="Avenir Book" w:hAnsi="Avenir Book"/>
          <w:sz w:val="22"/>
          <w:szCs w:val="22"/>
        </w:rPr>
        <w:t>doi: 10.1016/j.jhin</w:t>
      </w:r>
      <w:r w:rsidRPr="00811951">
        <w:rPr>
          <w:rFonts w:ascii="Avenir Book" w:hAnsi="Avenir Book"/>
          <w:sz w:val="22"/>
          <w:szCs w:val="22"/>
        </w:rPr>
        <w:t>.2020.09.015</w:t>
      </w:r>
    </w:p>
    <w:p w14:paraId="6993709A"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lang w:val="fr-FR"/>
        </w:rPr>
        <w:t xml:space="preserve">Park, Ju-Hyeong, et al. </w:t>
      </w:r>
      <w:r w:rsidRPr="00811951">
        <w:rPr>
          <w:rFonts w:ascii="Avenir Book" w:hAnsi="Avenir Book"/>
          <w:sz w:val="22"/>
          <w:szCs w:val="22"/>
        </w:rPr>
        <w:t xml:space="preserve">"Longitudinal Study of Dust and Airborne Endotoxin in the Home." Environmental Health Perspectives, vol. 108, no. 11, 2000, pp. 1023–1028. </w:t>
      </w:r>
      <w:hyperlink r:id="rId33" w:history="1">
        <w:r w:rsidRPr="00811951">
          <w:rPr>
            <w:rStyle w:val="Hyperlink"/>
            <w:rFonts w:ascii="Avenir Book" w:hAnsi="Avenir Book"/>
            <w:sz w:val="22"/>
            <w:szCs w:val="22"/>
          </w:rPr>
          <w:t>https://doi.org/10.1289/ehp.001081023</w:t>
        </w:r>
      </w:hyperlink>
      <w:r w:rsidRPr="00811951">
        <w:rPr>
          <w:rFonts w:ascii="Avenir Book" w:hAnsi="Avenir Book"/>
          <w:sz w:val="22"/>
          <w:szCs w:val="22"/>
        </w:rPr>
        <w:t>.</w:t>
      </w:r>
    </w:p>
    <w:p w14:paraId="5853BAB5" w14:textId="03EB01FA"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Rintala H, Pitkäranta M. Actinobacteria in indoor environments: Exposure and potential health risks. </w:t>
      </w:r>
      <w:r w:rsidRPr="00811951">
        <w:rPr>
          <w:rFonts w:ascii="Avenir Book" w:hAnsi="Avenir Book"/>
          <w:i/>
          <w:iCs/>
          <w:sz w:val="22"/>
          <w:szCs w:val="22"/>
        </w:rPr>
        <w:t>Front Microbiol</w:t>
      </w:r>
      <w:r w:rsidRPr="00811951">
        <w:rPr>
          <w:rFonts w:ascii="Avenir Book" w:eastAsiaTheme="majorEastAsia" w:hAnsi="Avenir Book"/>
          <w:sz w:val="22"/>
          <w:szCs w:val="22"/>
        </w:rPr>
        <w:t xml:space="preserve">. </w:t>
      </w:r>
      <w:r w:rsidR="00644422" w:rsidRPr="00811951">
        <w:rPr>
          <w:rFonts w:ascii="Avenir Book" w:eastAsiaTheme="majorEastAsia" w:hAnsi="Avenir Book"/>
          <w:sz w:val="22"/>
          <w:szCs w:val="22"/>
        </w:rPr>
        <w:t>2021; 12:67853</w:t>
      </w:r>
      <w:r w:rsidR="00644422" w:rsidRPr="00811951">
        <w:rPr>
          <w:rFonts w:ascii="Avenir Book" w:eastAsiaTheme="majorEastAsia" w:hAnsi="Avenir Book" w:hint="eastAsia"/>
          <w:sz w:val="22"/>
          <w:szCs w:val="22"/>
        </w:rPr>
        <w:t>6</w:t>
      </w:r>
      <w:r w:rsidRPr="00811951">
        <w:rPr>
          <w:rFonts w:ascii="Avenir Book" w:eastAsiaTheme="majorEastAsia" w:hAnsi="Avenir Book"/>
          <w:sz w:val="22"/>
          <w:szCs w:val="22"/>
        </w:rPr>
        <w:t>.</w:t>
      </w:r>
      <w:r w:rsidR="00545464">
        <w:rPr>
          <w:rFonts w:ascii="Avenir Book" w:eastAsiaTheme="majorEastAsia" w:hAnsi="Avenir Book"/>
          <w:sz w:val="22"/>
          <w:szCs w:val="22"/>
        </w:rPr>
        <w:tab/>
      </w:r>
      <w:r w:rsidRPr="00811951">
        <w:rPr>
          <w:rFonts w:ascii="Avenir Book" w:eastAsiaTheme="majorEastAsia" w:hAnsi="Avenir Book"/>
          <w:sz w:val="22"/>
          <w:szCs w:val="22"/>
        </w:rPr>
        <w:t xml:space="preserve"> doi:10.3389/fmicb.2021.678536</w:t>
      </w:r>
    </w:p>
    <w:p w14:paraId="1F2E87C6" w14:textId="58B03502"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Mendell MJ, Mirer AG, Cheung K, Tong M, Douwes J. Respiratory and allergic health effects of dampness, mold, and dampness-related agents: a review of the epidemiologic evidence. </w:t>
      </w:r>
      <w:r w:rsidRPr="00811951">
        <w:rPr>
          <w:rFonts w:ascii="Avenir Book" w:hAnsi="Avenir Book"/>
          <w:i/>
          <w:iCs/>
          <w:sz w:val="22"/>
          <w:szCs w:val="22"/>
        </w:rPr>
        <w:t>Environ Health Perspect</w:t>
      </w:r>
      <w:r w:rsidRPr="00811951">
        <w:rPr>
          <w:rFonts w:ascii="Avenir Book" w:eastAsiaTheme="majorEastAsia" w:hAnsi="Avenir Book"/>
          <w:sz w:val="22"/>
          <w:szCs w:val="22"/>
        </w:rPr>
        <w:t>. 2011;119(6):748–756.</w:t>
      </w:r>
      <w:r w:rsidR="00545464">
        <w:rPr>
          <w:rFonts w:ascii="Avenir Book" w:eastAsiaTheme="majorEastAsia" w:hAnsi="Avenir Book"/>
          <w:sz w:val="22"/>
          <w:szCs w:val="22"/>
        </w:rPr>
        <w:tab/>
      </w:r>
      <w:r w:rsidRPr="00811951">
        <w:rPr>
          <w:rFonts w:ascii="Avenir Book" w:eastAsiaTheme="majorEastAsia" w:hAnsi="Avenir Book"/>
          <w:sz w:val="22"/>
          <w:szCs w:val="22"/>
        </w:rPr>
        <w:t xml:space="preserve"> doi:10.1289/ehp.1002410</w:t>
      </w:r>
    </w:p>
    <w:p w14:paraId="571B7E7C" w14:textId="46813FBA"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Shoemaker, Ryan, et al. "Exposure to Actinobacteria Resident in Water</w:t>
      </w:r>
      <w:r w:rsidRPr="00811951">
        <w:rPr>
          <w:rFonts w:ascii="Avenir Book" w:hAnsi="Avenir Book"/>
          <w:sz w:val="22"/>
          <w:szCs w:val="22"/>
        </w:rPr>
        <w:noBreakHyphen/>
        <w:t xml:space="preserve">Damaged Buildings and Resultant Immune Injury in Chronic Inflammatory Response Syndrome." Medical Research Archives, vol. 9, no. </w:t>
      </w:r>
      <w:r w:rsidRPr="00811951">
        <w:rPr>
          <w:rFonts w:ascii="Avenir Book" w:hAnsi="Avenir Book"/>
          <w:sz w:val="22"/>
          <w:szCs w:val="22"/>
        </w:rPr>
        <w:t>10, Oct.</w:t>
      </w:r>
      <w:r w:rsidR="00545464">
        <w:rPr>
          <w:rFonts w:ascii="Avenir Book" w:hAnsi="Avenir Book"/>
          <w:sz w:val="22"/>
          <w:szCs w:val="22"/>
        </w:rPr>
        <w:t xml:space="preserve"> </w:t>
      </w:r>
      <w:r w:rsidRPr="00811951">
        <w:rPr>
          <w:rFonts w:ascii="Avenir Book" w:hAnsi="Avenir Book"/>
          <w:sz w:val="22"/>
          <w:szCs w:val="22"/>
        </w:rPr>
        <w:t>2021,</w:t>
      </w:r>
      <w:r w:rsidR="00545464">
        <w:rPr>
          <w:rFonts w:ascii="Avenir Book" w:hAnsi="Avenir Book"/>
          <w:sz w:val="22"/>
          <w:szCs w:val="22"/>
        </w:rPr>
        <w:tab/>
      </w:r>
      <w:r w:rsidRPr="00811951">
        <w:rPr>
          <w:rFonts w:ascii="Avenir Book" w:hAnsi="Avenir Book"/>
          <w:sz w:val="22"/>
          <w:szCs w:val="22"/>
        </w:rPr>
        <w:t xml:space="preserve"> </w:t>
      </w:r>
      <w:hyperlink r:id="rId34" w:history="1">
        <w:r w:rsidRPr="00811951">
          <w:rPr>
            <w:rStyle w:val="Hyperlink"/>
            <w:rFonts w:ascii="Avenir Book" w:hAnsi="Avenir Book"/>
            <w:sz w:val="22"/>
            <w:szCs w:val="22"/>
          </w:rPr>
          <w:t>https://doi.org/10.18103/mra.v9i10.2585</w:t>
        </w:r>
      </w:hyperlink>
      <w:r w:rsidRPr="00811951">
        <w:rPr>
          <w:rFonts w:ascii="Avenir Book" w:hAnsi="Avenir Book"/>
          <w:sz w:val="22"/>
          <w:szCs w:val="22"/>
        </w:rPr>
        <w:t>.</w:t>
      </w:r>
    </w:p>
    <w:p w14:paraId="54D046CB" w14:textId="67769058"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Eduard W. Fungal spores: a critical review of the toxicological and epidemiological evidence as a basis for occupational exposure limit setting. </w:t>
      </w:r>
      <w:r w:rsidRPr="00811951">
        <w:rPr>
          <w:rFonts w:ascii="Avenir Book" w:hAnsi="Avenir Book"/>
          <w:i/>
          <w:iCs/>
          <w:sz w:val="22"/>
          <w:szCs w:val="22"/>
        </w:rPr>
        <w:t>Crit Rev Toxicol</w:t>
      </w:r>
      <w:r w:rsidRPr="00811951">
        <w:rPr>
          <w:rFonts w:ascii="Avenir Book" w:eastAsiaTheme="majorEastAsia" w:hAnsi="Avenir Book"/>
          <w:sz w:val="22"/>
          <w:szCs w:val="22"/>
        </w:rPr>
        <w:t>. 2009;39(10):799–864.</w:t>
      </w:r>
      <w:r w:rsidR="00545464">
        <w:rPr>
          <w:rFonts w:ascii="Avenir Book" w:eastAsiaTheme="majorEastAsia" w:hAnsi="Avenir Book"/>
          <w:sz w:val="22"/>
          <w:szCs w:val="22"/>
        </w:rPr>
        <w:tab/>
      </w:r>
      <w:r w:rsidRPr="00811951">
        <w:rPr>
          <w:rFonts w:ascii="Avenir Book" w:eastAsiaTheme="majorEastAsia" w:hAnsi="Avenir Book"/>
          <w:sz w:val="22"/>
          <w:szCs w:val="22"/>
        </w:rPr>
        <w:t xml:space="preserve"> doi:10.3109/10408440903307333</w:t>
      </w:r>
    </w:p>
    <w:p w14:paraId="5538BB3A" w14:textId="4A8C6EA3"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Shoemaker RC, et al. Endotoxins and Actinomycetes: Contaminants of water-damaged buildings with potential health effects. Surviving Mold. 2021. Accessed July 1, 2025.</w:t>
      </w:r>
      <w:r w:rsidR="00545464">
        <w:rPr>
          <w:rFonts w:ascii="Avenir Book" w:hAnsi="Avenir Book"/>
          <w:sz w:val="22"/>
          <w:szCs w:val="22"/>
        </w:rPr>
        <w:tab/>
      </w:r>
      <w:r w:rsidRPr="00811951">
        <w:rPr>
          <w:rFonts w:ascii="Avenir Book" w:hAnsi="Avenir Book"/>
          <w:sz w:val="22"/>
          <w:szCs w:val="22"/>
        </w:rPr>
        <w:t xml:space="preserve"> </w:t>
      </w:r>
      <w:hyperlink r:id="rId35" w:tgtFrame="_new" w:history="1">
        <w:r w:rsidRPr="00811951">
          <w:rPr>
            <w:rStyle w:val="Hyperlink"/>
            <w:rFonts w:ascii="Avenir Book" w:eastAsiaTheme="majorEastAsia" w:hAnsi="Avenir Book"/>
            <w:sz w:val="22"/>
            <w:szCs w:val="22"/>
          </w:rPr>
          <w:t>https://www.survivingmold.com/legal-resources/actino-central</w:t>
        </w:r>
      </w:hyperlink>
    </w:p>
    <w:p w14:paraId="7C7385F8" w14:textId="1A6324AE"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 xml:space="preserve"> Shoemaker RC. How </w:t>
      </w:r>
      <w:r w:rsidR="00BC63BC">
        <w:rPr>
          <w:rFonts w:ascii="Avenir Book" w:hAnsi="Avenir Book"/>
          <w:sz w:val="22"/>
          <w:szCs w:val="22"/>
        </w:rPr>
        <w:t>Actinobacteria</w:t>
      </w:r>
      <w:r w:rsidR="00BC63BC" w:rsidRPr="00811951">
        <w:rPr>
          <w:rFonts w:ascii="Avenir Book" w:hAnsi="Avenir Book"/>
          <w:sz w:val="22"/>
          <w:szCs w:val="22"/>
        </w:rPr>
        <w:t xml:space="preserve"> cause</w:t>
      </w:r>
      <w:r w:rsidRPr="00811951">
        <w:rPr>
          <w:rFonts w:ascii="Avenir Book" w:hAnsi="Avenir Book"/>
          <w:sz w:val="22"/>
          <w:szCs w:val="22"/>
        </w:rPr>
        <w:t xml:space="preserve"> CIRS. Surviving Mold. 2022. Accessed July 1, 2025. </w:t>
      </w:r>
      <w:hyperlink r:id="rId36" w:tgtFrame="_new" w:history="1">
        <w:r w:rsidRPr="00811951">
          <w:rPr>
            <w:rStyle w:val="Hyperlink"/>
            <w:rFonts w:ascii="Avenir Book" w:eastAsiaTheme="majorEastAsia" w:hAnsi="Avenir Book"/>
            <w:sz w:val="22"/>
            <w:szCs w:val="22"/>
          </w:rPr>
          <w:t>https://www.survivingmold.com/legal-resources/actino-central</w:t>
        </w:r>
      </w:hyperlink>
    </w:p>
    <w:p w14:paraId="76E77C7E"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 Green BJ, Cox-Ganser JM. Approaches to assessing microbial exposures in the indoor environment: recent advances and recommendations. </w:t>
      </w:r>
      <w:r w:rsidRPr="00811951">
        <w:rPr>
          <w:rFonts w:ascii="Avenir Book" w:hAnsi="Avenir Book"/>
          <w:i/>
          <w:iCs/>
          <w:sz w:val="22"/>
          <w:szCs w:val="22"/>
        </w:rPr>
        <w:t>Curr Environ Health Rep</w:t>
      </w:r>
      <w:r w:rsidRPr="00811951">
        <w:rPr>
          <w:rFonts w:ascii="Avenir Book" w:eastAsiaTheme="majorEastAsia" w:hAnsi="Avenir Book"/>
          <w:sz w:val="22"/>
          <w:szCs w:val="22"/>
        </w:rPr>
        <w:t>. 2021;8(2):104–113. doi:10.1007/s40572-021-00301-z</w:t>
      </w:r>
    </w:p>
    <w:p w14:paraId="299FE24A" w14:textId="493CE101"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US Environmental Protection Agency. What does mold smell like? Moldy/musty odors and mVOCs. Accessed July 1, 2025.</w:t>
      </w:r>
      <w:r w:rsidR="00545464">
        <w:rPr>
          <w:rFonts w:ascii="Avenir Book" w:hAnsi="Avenir Book"/>
          <w:sz w:val="22"/>
          <w:szCs w:val="22"/>
        </w:rPr>
        <w:tab/>
      </w:r>
      <w:r w:rsidRPr="00811951">
        <w:rPr>
          <w:rFonts w:ascii="Avenir Book" w:hAnsi="Avenir Book"/>
          <w:sz w:val="22"/>
          <w:szCs w:val="22"/>
        </w:rPr>
        <w:t xml:space="preserve"> </w:t>
      </w:r>
      <w:hyperlink r:id="rId37" w:tgtFrame="_new" w:history="1">
        <w:r w:rsidRPr="00811951">
          <w:rPr>
            <w:rStyle w:val="Hyperlink"/>
            <w:rFonts w:ascii="Avenir Book" w:eastAsiaTheme="majorEastAsia" w:hAnsi="Avenir Book"/>
            <w:sz w:val="22"/>
            <w:szCs w:val="22"/>
          </w:rPr>
          <w:t>https://www.epa.gov/mold/what-does-mold-smell-moldymusty-odors-and-mvocs</w:t>
        </w:r>
      </w:hyperlink>
    </w:p>
    <w:p w14:paraId="75B8F5BD" w14:textId="3F90CD03"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US Environmental Protection Agency. Mold course chapter 3. Accessed July 1, 2025.</w:t>
      </w:r>
      <w:r w:rsidR="00545464">
        <w:rPr>
          <w:rFonts w:ascii="Avenir Book" w:hAnsi="Avenir Book"/>
          <w:sz w:val="22"/>
          <w:szCs w:val="22"/>
        </w:rPr>
        <w:tab/>
      </w:r>
      <w:r w:rsidRPr="00811951">
        <w:rPr>
          <w:rFonts w:ascii="Avenir Book" w:hAnsi="Avenir Book"/>
          <w:sz w:val="22"/>
          <w:szCs w:val="22"/>
        </w:rPr>
        <w:t xml:space="preserve"> </w:t>
      </w:r>
      <w:hyperlink r:id="rId38" w:tgtFrame="_new" w:history="1">
        <w:r w:rsidRPr="00811951">
          <w:rPr>
            <w:rStyle w:val="Hyperlink"/>
            <w:rFonts w:ascii="Avenir Book" w:eastAsiaTheme="majorEastAsia" w:hAnsi="Avenir Book"/>
            <w:sz w:val="22"/>
            <w:szCs w:val="22"/>
          </w:rPr>
          <w:t>https://www.epa.gov/mold/mold-course-chapter-3</w:t>
        </w:r>
      </w:hyperlink>
    </w:p>
    <w:p w14:paraId="53B85117" w14:textId="3115CA4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National Institute for Occupational Safety and Health (NIOSH). Dampness and Mold Assessment Tool (DMAT). Accessed July 1, 2025.</w:t>
      </w:r>
      <w:r w:rsidR="00545464">
        <w:rPr>
          <w:rFonts w:ascii="Avenir Book" w:hAnsi="Avenir Book"/>
          <w:sz w:val="22"/>
          <w:szCs w:val="22"/>
        </w:rPr>
        <w:tab/>
      </w:r>
      <w:r w:rsidRPr="00811951">
        <w:rPr>
          <w:rFonts w:ascii="Avenir Book" w:hAnsi="Avenir Book"/>
          <w:sz w:val="22"/>
          <w:szCs w:val="22"/>
        </w:rPr>
        <w:t xml:space="preserve"> </w:t>
      </w:r>
      <w:hyperlink r:id="rId39" w:tgtFrame="_new" w:history="1">
        <w:r w:rsidRPr="00811951">
          <w:rPr>
            <w:rStyle w:val="Hyperlink"/>
            <w:rFonts w:ascii="Avenir Book" w:eastAsiaTheme="majorEastAsia" w:hAnsi="Avenir Book"/>
            <w:sz w:val="22"/>
            <w:szCs w:val="22"/>
          </w:rPr>
          <w:t>https://www.cdc.gov/niosh/topics/indoorenv/dampness-mold-assessment-tool.html</w:t>
        </w:r>
      </w:hyperlink>
    </w:p>
    <w:p w14:paraId="610BBBE4" w14:textId="2BFDC5A2"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UpToDate. Assessment of mold in the indoor environment. Accessed July 1, 2025.</w:t>
      </w:r>
      <w:r w:rsidR="00545464">
        <w:rPr>
          <w:rFonts w:ascii="Avenir Book" w:hAnsi="Avenir Book"/>
          <w:sz w:val="22"/>
          <w:szCs w:val="22"/>
        </w:rPr>
        <w:tab/>
      </w:r>
      <w:r w:rsidRPr="00811951">
        <w:rPr>
          <w:rFonts w:ascii="Avenir Book" w:hAnsi="Avenir Book"/>
          <w:sz w:val="22"/>
          <w:szCs w:val="22"/>
        </w:rPr>
        <w:t xml:space="preserve"> </w:t>
      </w:r>
      <w:hyperlink r:id="rId40" w:tgtFrame="_new" w:history="1">
        <w:r w:rsidRPr="00811951">
          <w:rPr>
            <w:rStyle w:val="Hyperlink"/>
            <w:rFonts w:ascii="Avenir Book" w:eastAsiaTheme="majorEastAsia" w:hAnsi="Avenir Book"/>
            <w:sz w:val="22"/>
            <w:szCs w:val="22"/>
          </w:rPr>
          <w:t>https://www.uptodate.com/contents/assessment-of-mold-in-the-indoor-environment</w:t>
        </w:r>
      </w:hyperlink>
    </w:p>
    <w:p w14:paraId="1A34002F"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New York City Department of Health and Mental Hygiene. </w:t>
      </w:r>
      <w:r w:rsidRPr="00811951">
        <w:rPr>
          <w:rFonts w:ascii="Avenir Book" w:hAnsi="Avenir Book"/>
          <w:i/>
          <w:iCs/>
          <w:sz w:val="22"/>
          <w:szCs w:val="22"/>
        </w:rPr>
        <w:t>Guidelines on assessment and remediation of fungi in indoor environments</w:t>
      </w:r>
      <w:r w:rsidRPr="00811951">
        <w:rPr>
          <w:rFonts w:ascii="Avenir Book" w:eastAsiaTheme="majorEastAsia" w:hAnsi="Avenir Book"/>
          <w:sz w:val="22"/>
          <w:szCs w:val="22"/>
        </w:rPr>
        <w:t xml:space="preserve">. 2008. Accessed July 1, 2025. </w:t>
      </w:r>
      <w:hyperlink r:id="rId41" w:tgtFrame="_new" w:history="1">
        <w:r w:rsidRPr="00811951">
          <w:rPr>
            <w:rStyle w:val="Hyperlink"/>
            <w:rFonts w:ascii="Avenir Book" w:hAnsi="Avenir Book"/>
            <w:sz w:val="22"/>
            <w:szCs w:val="22"/>
          </w:rPr>
          <w:t>https://www.nyc.gov/assets/doh/downloads/pdf/epi/epi-mold-guidelines.pdf</w:t>
        </w:r>
      </w:hyperlink>
    </w:p>
    <w:p w14:paraId="57F7C332" w14:textId="75C3E7BC"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Kates OS. What is ethically important about antimicrobial resistance? </w:t>
      </w:r>
      <w:r w:rsidRPr="00811951">
        <w:rPr>
          <w:rFonts w:ascii="Avenir Book" w:hAnsi="Avenir Book"/>
          <w:i/>
          <w:iCs/>
          <w:sz w:val="22"/>
          <w:szCs w:val="22"/>
        </w:rPr>
        <w:t>AMA J Ethics</w:t>
      </w:r>
      <w:r w:rsidRPr="00811951">
        <w:rPr>
          <w:rFonts w:ascii="Avenir Book" w:eastAsiaTheme="majorEastAsia" w:hAnsi="Avenir Book"/>
          <w:sz w:val="22"/>
          <w:szCs w:val="22"/>
        </w:rPr>
        <w:t>. 2024;26(5</w:t>
      </w:r>
      <w:r w:rsidR="00BC63BC" w:rsidRPr="00811951">
        <w:rPr>
          <w:rFonts w:ascii="Avenir Book" w:eastAsiaTheme="majorEastAsia" w:hAnsi="Avenir Book"/>
          <w:sz w:val="22"/>
          <w:szCs w:val="22"/>
        </w:rPr>
        <w:t xml:space="preserve">): </w:t>
      </w:r>
      <w:r w:rsidR="00BC63BC" w:rsidRPr="00811951">
        <w:rPr>
          <w:rFonts w:ascii="Avenir Book" w:eastAsiaTheme="majorEastAsia" w:hAnsi="Avenir Book" w:hint="eastAsia"/>
          <w:sz w:val="22"/>
          <w:szCs w:val="22"/>
        </w:rPr>
        <w:t>E</w:t>
      </w:r>
      <w:r w:rsidRPr="00811951">
        <w:rPr>
          <w:rFonts w:ascii="Avenir Book" w:eastAsiaTheme="majorEastAsia" w:hAnsi="Avenir Book"/>
          <w:sz w:val="22"/>
          <w:szCs w:val="22"/>
        </w:rPr>
        <w:t>363–366.</w:t>
      </w:r>
    </w:p>
    <w:p w14:paraId="570830E0"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Llor C, Bjerrum L. Antimicrobial resistance: risk associated with antibiotic overuse and initiatives to reduce the problem. </w:t>
      </w:r>
      <w:r w:rsidRPr="00811951">
        <w:rPr>
          <w:rFonts w:ascii="Avenir Book" w:hAnsi="Avenir Book"/>
          <w:i/>
          <w:iCs/>
          <w:sz w:val="22"/>
          <w:szCs w:val="22"/>
        </w:rPr>
        <w:t>Ther Adv Drug Saf</w:t>
      </w:r>
      <w:r w:rsidRPr="00811951">
        <w:rPr>
          <w:rFonts w:ascii="Avenir Book" w:eastAsiaTheme="majorEastAsia" w:hAnsi="Avenir Book"/>
          <w:sz w:val="22"/>
          <w:szCs w:val="22"/>
        </w:rPr>
        <w:t>. 2014;5(6):229–241.</w:t>
      </w:r>
    </w:p>
    <w:p w14:paraId="7047E7CD" w14:textId="7D800C9E"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 xml:space="preserve">Fisher MC, Hawkins NJ, Sanglard D, Gurr SJ. Antifungal exposure and resistance development: a review of environmental selection pressures. </w:t>
      </w:r>
      <w:r w:rsidRPr="00811951">
        <w:rPr>
          <w:rStyle w:val="Emphasis"/>
          <w:rFonts w:ascii="Avenir Book" w:eastAsiaTheme="majorEastAsia" w:hAnsi="Avenir Book"/>
          <w:sz w:val="22"/>
          <w:szCs w:val="22"/>
        </w:rPr>
        <w:t>Front Fungal Biol</w:t>
      </w:r>
      <w:r w:rsidRPr="00811951">
        <w:rPr>
          <w:rFonts w:ascii="Avenir Book" w:hAnsi="Avenir Book"/>
          <w:sz w:val="22"/>
          <w:szCs w:val="22"/>
        </w:rPr>
        <w:t xml:space="preserve">. </w:t>
      </w:r>
      <w:r w:rsidR="00BC63BC" w:rsidRPr="00811951">
        <w:rPr>
          <w:rFonts w:ascii="Avenir Book" w:hAnsi="Avenir Book"/>
          <w:sz w:val="22"/>
          <w:szCs w:val="22"/>
        </w:rPr>
        <w:t>2022; 3:918717</w:t>
      </w:r>
      <w:r w:rsidRPr="00811951">
        <w:rPr>
          <w:rFonts w:ascii="Avenir Book" w:hAnsi="Avenir Book"/>
          <w:sz w:val="22"/>
          <w:szCs w:val="22"/>
        </w:rPr>
        <w:t>.</w:t>
      </w:r>
      <w:r w:rsidR="00545464">
        <w:rPr>
          <w:rFonts w:ascii="Avenir Book" w:hAnsi="Avenir Book"/>
          <w:sz w:val="22"/>
          <w:szCs w:val="22"/>
        </w:rPr>
        <w:tab/>
      </w:r>
      <w:r w:rsidRPr="00811951">
        <w:rPr>
          <w:rFonts w:ascii="Avenir Book" w:hAnsi="Avenir Book"/>
          <w:sz w:val="22"/>
          <w:szCs w:val="22"/>
        </w:rPr>
        <w:t xml:space="preserve"> doi:10.3389/ffunb.2022.918717</w:t>
      </w:r>
    </w:p>
    <w:p w14:paraId="119488EE"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lang w:val="es-ES"/>
        </w:rPr>
        <w:t xml:space="preserve">van der Torre M, Varga J, Stielow B, et al. </w:t>
      </w:r>
      <w:r w:rsidRPr="00811951">
        <w:rPr>
          <w:rFonts w:ascii="Avenir Book" w:hAnsi="Avenir Book"/>
          <w:sz w:val="22"/>
          <w:szCs w:val="22"/>
        </w:rPr>
        <w:t xml:space="preserve">Elevated mutation rates in multi-azole-resistant </w:t>
      </w:r>
      <w:r w:rsidRPr="00811951">
        <w:rPr>
          <w:rStyle w:val="Emphasis"/>
          <w:rFonts w:ascii="Avenir Book" w:eastAsiaTheme="majorEastAsia" w:hAnsi="Avenir Book"/>
          <w:sz w:val="22"/>
          <w:szCs w:val="22"/>
        </w:rPr>
        <w:t>Aspergillus fumigatus</w:t>
      </w:r>
      <w:r w:rsidRPr="00811951">
        <w:rPr>
          <w:rFonts w:ascii="Avenir Book" w:hAnsi="Avenir Book"/>
          <w:sz w:val="22"/>
          <w:szCs w:val="22"/>
        </w:rPr>
        <w:t xml:space="preserve"> drive rapid evolution of antifungal resistance. </w:t>
      </w:r>
      <w:r w:rsidRPr="00811951">
        <w:rPr>
          <w:rStyle w:val="Emphasis"/>
          <w:rFonts w:ascii="Avenir Book" w:eastAsiaTheme="majorEastAsia" w:hAnsi="Avenir Book"/>
          <w:sz w:val="22"/>
          <w:szCs w:val="22"/>
        </w:rPr>
        <w:t>Nat Genet</w:t>
      </w:r>
      <w:r w:rsidRPr="00811951">
        <w:rPr>
          <w:rFonts w:ascii="Avenir Book" w:hAnsi="Avenir Book"/>
          <w:sz w:val="22"/>
          <w:szCs w:val="22"/>
        </w:rPr>
        <w:t>. 2024;56(1):123-131. doi:10.1038/s41588-024-54568-5</w:t>
      </w:r>
    </w:p>
    <w:p w14:paraId="0A55C3D8"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 xml:space="preserve">Shoemaker RC. </w:t>
      </w:r>
      <w:r w:rsidRPr="00811951">
        <w:rPr>
          <w:rStyle w:val="Emphasis"/>
          <w:rFonts w:ascii="Avenir Book" w:eastAsiaTheme="majorEastAsia" w:hAnsi="Avenir Book"/>
          <w:sz w:val="22"/>
          <w:szCs w:val="22"/>
        </w:rPr>
        <w:t>Surviving Mold: Life in the Era of Dangerous Buildings</w:t>
      </w:r>
      <w:r w:rsidRPr="00811951">
        <w:rPr>
          <w:rFonts w:ascii="Avenir Book" w:hAnsi="Avenir Book"/>
          <w:sz w:val="22"/>
          <w:szCs w:val="22"/>
        </w:rPr>
        <w:t>. Washington, DC: Gateway Press; 2011:77.</w:t>
      </w:r>
    </w:p>
    <w:p w14:paraId="1746DD7C"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lastRenderedPageBreak/>
        <w:t xml:space="preserve">Shoemaker RC. </w:t>
      </w:r>
      <w:r w:rsidRPr="00811951">
        <w:rPr>
          <w:rStyle w:val="Emphasis"/>
          <w:rFonts w:ascii="Avenir Book" w:eastAsiaTheme="majorEastAsia" w:hAnsi="Avenir Book"/>
          <w:sz w:val="22"/>
          <w:szCs w:val="22"/>
        </w:rPr>
        <w:t>Mold Warriors: Fighting America's Hidden Health Threat</w:t>
      </w:r>
      <w:r w:rsidRPr="00811951">
        <w:rPr>
          <w:rFonts w:ascii="Avenir Book" w:hAnsi="Avenir Book"/>
          <w:sz w:val="22"/>
          <w:szCs w:val="22"/>
        </w:rPr>
        <w:t>. Havertown, PA: Gateway Press; 2005:100-110.</w:t>
      </w:r>
    </w:p>
    <w:p w14:paraId="14AB9160" w14:textId="54AB4310"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National Air Duct Cleaners Association.</w:t>
      </w:r>
      <w:r w:rsidRPr="00811951">
        <w:rPr>
          <w:rFonts w:ascii="Avenir Book" w:eastAsiaTheme="majorEastAsia" w:hAnsi="Avenir Book"/>
          <w:sz w:val="22"/>
          <w:szCs w:val="22"/>
        </w:rPr>
        <w:t xml:space="preserve"> </w:t>
      </w:r>
      <w:r w:rsidRPr="00811951">
        <w:rPr>
          <w:rFonts w:ascii="Avenir Book" w:hAnsi="Avenir Book"/>
          <w:i/>
          <w:iCs/>
          <w:sz w:val="22"/>
          <w:szCs w:val="22"/>
        </w:rPr>
        <w:t>ACR: The NADCA Standard for Assessment, Cleaning &amp; Restoration of HVAC Systems</w:t>
      </w:r>
      <w:r w:rsidRPr="00811951">
        <w:rPr>
          <w:rFonts w:ascii="Avenir Book" w:eastAsiaTheme="majorEastAsia" w:hAnsi="Avenir Book"/>
          <w:sz w:val="22"/>
          <w:szCs w:val="22"/>
        </w:rPr>
        <w:t>. Washington, DC: NADCA; 2021. Available at:</w:t>
      </w:r>
      <w:r w:rsidR="005D0C9F">
        <w:rPr>
          <w:rFonts w:ascii="Avenir Book" w:eastAsiaTheme="majorEastAsia" w:hAnsi="Avenir Book"/>
          <w:sz w:val="22"/>
          <w:szCs w:val="22"/>
        </w:rPr>
        <w:tab/>
      </w:r>
      <w:r w:rsidRPr="00811951">
        <w:rPr>
          <w:rFonts w:ascii="Avenir Book" w:eastAsiaTheme="majorEastAsia" w:hAnsi="Avenir Book"/>
          <w:sz w:val="22"/>
          <w:szCs w:val="22"/>
        </w:rPr>
        <w:t xml:space="preserve"> </w:t>
      </w:r>
      <w:hyperlink r:id="rId42" w:tgtFrame="_new" w:history="1">
        <w:r w:rsidRPr="00811951">
          <w:rPr>
            <w:rStyle w:val="Hyperlink"/>
            <w:rFonts w:ascii="Avenir Book" w:eastAsiaTheme="majorEastAsia" w:hAnsi="Avenir Book"/>
            <w:sz w:val="22"/>
            <w:szCs w:val="22"/>
          </w:rPr>
          <w:t>https://nadca.com/industry/standards/ACR</w:t>
        </w:r>
      </w:hyperlink>
      <w:r w:rsidRPr="00811951">
        <w:rPr>
          <w:rFonts w:ascii="Avenir Book" w:eastAsiaTheme="majorEastAsia" w:hAnsi="Avenir Book"/>
          <w:sz w:val="22"/>
          <w:szCs w:val="22"/>
        </w:rPr>
        <w:t>. Accessed July 1, 2025.</w:t>
      </w:r>
    </w:p>
    <w:p w14:paraId="14F4D39D"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eastAsiaTheme="majorEastAsia" w:hAnsi="Avenir Book"/>
          <w:sz w:val="22"/>
          <w:szCs w:val="22"/>
        </w:rPr>
        <w:t xml:space="preserve"> </w:t>
      </w:r>
      <w:r w:rsidRPr="00811951">
        <w:rPr>
          <w:rFonts w:ascii="Avenir Book" w:hAnsi="Avenir Book"/>
          <w:sz w:val="22"/>
          <w:szCs w:val="22"/>
        </w:rPr>
        <w:t>Moon RE.</w:t>
      </w:r>
      <w:r w:rsidRPr="00811951">
        <w:rPr>
          <w:rFonts w:ascii="Avenir Book" w:eastAsiaTheme="majorEastAsia" w:hAnsi="Avenir Book"/>
          <w:sz w:val="22"/>
          <w:szCs w:val="22"/>
        </w:rPr>
        <w:t xml:space="preserve"> Assessment of cleaning efficacy for clothing contaminated in a mold-contaminated environment. </w:t>
      </w:r>
      <w:r w:rsidRPr="00811951">
        <w:rPr>
          <w:rFonts w:ascii="Avenir Book" w:hAnsi="Avenir Book"/>
          <w:i/>
          <w:iCs/>
          <w:sz w:val="22"/>
          <w:szCs w:val="22"/>
        </w:rPr>
        <w:t>Restoration Industry Association Journal</w:t>
      </w:r>
      <w:r w:rsidRPr="00811951">
        <w:rPr>
          <w:rFonts w:ascii="Avenir Book" w:eastAsiaTheme="majorEastAsia" w:hAnsi="Avenir Book"/>
          <w:sz w:val="22"/>
          <w:szCs w:val="22"/>
        </w:rPr>
        <w:t>. 2006;24(3):32–37.</w:t>
      </w:r>
    </w:p>
    <w:p w14:paraId="0F66E94F" w14:textId="77777777" w:rsidR="00A36B72" w:rsidRPr="0081195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sz w:val="22"/>
          <w:szCs w:val="22"/>
        </w:rPr>
      </w:pPr>
      <w:r w:rsidRPr="00811951">
        <w:rPr>
          <w:rFonts w:ascii="Avenir Book" w:hAnsi="Avenir Book"/>
          <w:sz w:val="22"/>
          <w:szCs w:val="22"/>
        </w:rPr>
        <w:t>Connecticut Department of Public Health.</w:t>
      </w:r>
      <w:r w:rsidRPr="00811951">
        <w:rPr>
          <w:rFonts w:ascii="Avenir Book" w:eastAsiaTheme="majorEastAsia" w:hAnsi="Avenir Book"/>
          <w:sz w:val="22"/>
          <w:szCs w:val="22"/>
        </w:rPr>
        <w:t xml:space="preserve"> </w:t>
      </w:r>
      <w:r w:rsidRPr="00811951">
        <w:rPr>
          <w:rFonts w:ascii="Avenir Book" w:hAnsi="Avenir Book"/>
          <w:i/>
          <w:iCs/>
          <w:sz w:val="22"/>
          <w:szCs w:val="22"/>
        </w:rPr>
        <w:t>CT Guidelines for Mold Abatement Contractors</w:t>
      </w:r>
      <w:r w:rsidRPr="00811951">
        <w:rPr>
          <w:rFonts w:ascii="Avenir Book" w:eastAsiaTheme="majorEastAsia" w:hAnsi="Avenir Book"/>
          <w:sz w:val="22"/>
          <w:szCs w:val="22"/>
        </w:rPr>
        <w:t xml:space="preserve">. Rev. ed. Environmental Health Section; February 2023. </w:t>
      </w:r>
      <w:hyperlink r:id="rId43" w:tgtFrame="_new" w:history="1">
        <w:r w:rsidRPr="00811951">
          <w:rPr>
            <w:rStyle w:val="Hyperlink"/>
            <w:rFonts w:ascii="Avenir Book" w:eastAsiaTheme="majorEastAsia" w:hAnsi="Avenir Book"/>
            <w:sz w:val="22"/>
            <w:szCs w:val="22"/>
          </w:rPr>
          <w:t>https://portal.ct.gov/DPH</w:t>
        </w:r>
      </w:hyperlink>
      <w:r w:rsidRPr="00811951">
        <w:rPr>
          <w:rFonts w:ascii="Avenir Book" w:eastAsiaTheme="majorEastAsia" w:hAnsi="Avenir Book"/>
          <w:sz w:val="22"/>
          <w:szCs w:val="22"/>
        </w:rPr>
        <w:t>. Accessed July 1, 2025.</w:t>
      </w:r>
    </w:p>
    <w:p w14:paraId="7A1122CF" w14:textId="77777777" w:rsidR="00A36B72" w:rsidRPr="00A81B11" w:rsidRDefault="00A36B72" w:rsidP="00A81B11">
      <w:pPr>
        <w:pStyle w:val="pf0"/>
        <w:numPr>
          <w:ilvl w:val="0"/>
          <w:numId w:val="10"/>
        </w:numPr>
        <w:tabs>
          <w:tab w:val="left" w:pos="720"/>
        </w:tabs>
        <w:spacing w:before="0" w:beforeAutospacing="0" w:after="0" w:afterAutospacing="0"/>
        <w:ind w:left="450" w:right="-5" w:hanging="450"/>
        <w:jc w:val="both"/>
        <w:rPr>
          <w:rFonts w:ascii="Avenir Book" w:eastAsiaTheme="majorEastAsia" w:hAnsi="Avenir Book" w:hint="eastAsia"/>
          <w:iCs/>
          <w:sz w:val="22"/>
          <w:szCs w:val="22"/>
        </w:rPr>
      </w:pPr>
      <w:r w:rsidRPr="00811951">
        <w:rPr>
          <w:rFonts w:ascii="Avenir Book" w:hAnsi="Avenir Book"/>
          <w:iCs/>
          <w:sz w:val="22"/>
          <w:szCs w:val="22"/>
        </w:rPr>
        <w:t>Gravesen S, Frisvad JC, Samson RA.</w:t>
      </w:r>
      <w:r w:rsidRPr="00811951">
        <w:rPr>
          <w:rFonts w:ascii="Avenir Book" w:hAnsi="Avenir Book"/>
          <w:i/>
          <w:sz w:val="22"/>
          <w:szCs w:val="22"/>
        </w:rPr>
        <w:t xml:space="preserve"> Microfungi. </w:t>
      </w:r>
      <w:r w:rsidRPr="00811951">
        <w:rPr>
          <w:rFonts w:ascii="Avenir Book" w:hAnsi="Avenir Book"/>
          <w:iCs/>
          <w:sz w:val="22"/>
          <w:szCs w:val="22"/>
        </w:rPr>
        <w:t>Copenhagen, Denmark: Munksgaard; 1994.</w:t>
      </w:r>
    </w:p>
    <w:p w14:paraId="3ED74631" w14:textId="77777777" w:rsidR="00A81B11" w:rsidRDefault="00A81B11" w:rsidP="00A81B11">
      <w:pPr>
        <w:pStyle w:val="pf0"/>
        <w:tabs>
          <w:tab w:val="left" w:pos="720"/>
        </w:tabs>
        <w:spacing w:before="0" w:beforeAutospacing="0" w:after="0" w:afterAutospacing="0"/>
        <w:ind w:left="450"/>
        <w:jc w:val="both"/>
        <w:rPr>
          <w:rFonts w:ascii="Avenir Book" w:eastAsiaTheme="majorEastAsia" w:hAnsi="Avenir Book" w:hint="eastAsia"/>
          <w:iCs/>
          <w:sz w:val="22"/>
          <w:szCs w:val="22"/>
        </w:rPr>
        <w:sectPr w:rsidR="00A81B11" w:rsidSect="00A81B11">
          <w:type w:val="continuous"/>
          <w:pgSz w:w="11906" w:h="16838"/>
          <w:pgMar w:top="288" w:right="720" w:bottom="288" w:left="720" w:header="283" w:footer="283" w:gutter="0"/>
          <w:cols w:num="2" w:space="432"/>
          <w:docGrid w:linePitch="360"/>
        </w:sectPr>
      </w:pPr>
    </w:p>
    <w:p w14:paraId="4D292758" w14:textId="77777777" w:rsidR="00A81B11" w:rsidRPr="00811951" w:rsidRDefault="00A81B11" w:rsidP="00A81B11">
      <w:pPr>
        <w:pStyle w:val="pf0"/>
        <w:tabs>
          <w:tab w:val="left" w:pos="720"/>
        </w:tabs>
        <w:spacing w:before="0" w:beforeAutospacing="0" w:after="0" w:afterAutospacing="0"/>
        <w:ind w:left="450"/>
        <w:jc w:val="both"/>
        <w:rPr>
          <w:rFonts w:ascii="Avenir Book" w:eastAsiaTheme="majorEastAsia" w:hAnsi="Avenir Book" w:hint="eastAsia"/>
          <w:iCs/>
          <w:sz w:val="22"/>
          <w:szCs w:val="22"/>
        </w:rPr>
      </w:pPr>
    </w:p>
    <w:sectPr w:rsidR="00A81B11" w:rsidRPr="00811951" w:rsidSect="00A81B11">
      <w:type w:val="continuous"/>
      <w:pgSz w:w="11906" w:h="16838"/>
      <w:pgMar w:top="288" w:right="720" w:bottom="288" w:left="720" w:header="283" w:footer="283"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D1D1" w14:textId="77777777" w:rsidR="007D10E9" w:rsidRDefault="007D10E9" w:rsidP="00A85AB7">
      <w:r>
        <w:separator/>
      </w:r>
    </w:p>
  </w:endnote>
  <w:endnote w:type="continuationSeparator" w:id="0">
    <w:p w14:paraId="6B9095EF" w14:textId="77777777" w:rsidR="007D10E9" w:rsidRDefault="007D10E9" w:rsidP="00A8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font>
  <w:font w:name="Poppins">
    <w:charset w:val="00"/>
    <w:family w:val="auto"/>
    <w:pitch w:val="variable"/>
    <w:sig w:usb0="00008007" w:usb1="00000000" w:usb2="00000000" w:usb3="00000000" w:csb0="00000093" w:csb1="00000000"/>
  </w:font>
  <w:font w:name="Times New Roman (Body CS)">
    <w:charset w:val="00"/>
    <w:family w:val="roman"/>
    <w:pitch w:val="default"/>
  </w:font>
  <w:font w:name="Roboto">
    <w:panose1 w:val="02000000000000000000"/>
    <w:charset w:val="00"/>
    <w:family w:val="auto"/>
    <w:pitch w:val="variable"/>
    <w:sig w:usb0="E0000AFF" w:usb1="5000217F" w:usb2="00000021" w:usb3="00000000" w:csb0="000001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121734"/>
      <w:docPartObj>
        <w:docPartGallery w:val="Page Numbers (Bottom of Page)"/>
        <w:docPartUnique/>
      </w:docPartObj>
    </w:sdtPr>
    <w:sdtEndPr>
      <w:rPr>
        <w:rStyle w:val="PageNumber"/>
      </w:rPr>
    </w:sdtEndPr>
    <w:sdtContent>
      <w:p w14:paraId="020CFB83" w14:textId="3600F37A" w:rsidR="009D7C3C" w:rsidRDefault="009D7C3C" w:rsidP="001C4F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DBA36" w14:textId="77777777" w:rsidR="009D7C3C" w:rsidRDefault="009D7C3C" w:rsidP="009D7C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747087"/>
      <w:docPartObj>
        <w:docPartGallery w:val="Page Numbers (Bottom of Page)"/>
        <w:docPartUnique/>
      </w:docPartObj>
    </w:sdtPr>
    <w:sdtEndPr>
      <w:rPr>
        <w:rStyle w:val="PageNumber"/>
        <w:sz w:val="20"/>
        <w:szCs w:val="20"/>
      </w:rPr>
    </w:sdtEndPr>
    <w:sdtContent>
      <w:p w14:paraId="6C5A2896" w14:textId="49824962" w:rsidR="001C4F8B" w:rsidRPr="001C4F8B" w:rsidRDefault="001C4F8B" w:rsidP="00FD5A4E">
        <w:pPr>
          <w:pStyle w:val="Footer"/>
          <w:framePr w:wrap="none" w:vAnchor="text" w:hAnchor="margin" w:xAlign="right" w:y="1"/>
          <w:spacing w:before="80"/>
          <w:rPr>
            <w:rStyle w:val="PageNumber"/>
            <w:sz w:val="20"/>
            <w:szCs w:val="20"/>
          </w:rPr>
        </w:pPr>
        <w:r w:rsidRPr="001C4F8B">
          <w:rPr>
            <w:rStyle w:val="PageNumber"/>
            <w:rFonts w:ascii="Avenir Book" w:hAnsi="Avenir Book"/>
            <w:b/>
            <w:bCs/>
            <w:color w:val="11639F"/>
            <w:sz w:val="20"/>
            <w:szCs w:val="20"/>
          </w:rPr>
          <w:fldChar w:fldCharType="begin"/>
        </w:r>
        <w:r w:rsidRPr="001C4F8B">
          <w:rPr>
            <w:rStyle w:val="PageNumber"/>
            <w:rFonts w:ascii="Avenir Book" w:hAnsi="Avenir Book"/>
            <w:b/>
            <w:bCs/>
            <w:color w:val="11639F"/>
            <w:sz w:val="20"/>
            <w:szCs w:val="20"/>
          </w:rPr>
          <w:instrText xml:space="preserve"> PAGE </w:instrText>
        </w:r>
        <w:r w:rsidRPr="001C4F8B">
          <w:rPr>
            <w:rStyle w:val="PageNumber"/>
            <w:rFonts w:ascii="Avenir Book" w:hAnsi="Avenir Book"/>
            <w:b/>
            <w:bCs/>
            <w:color w:val="11639F"/>
            <w:sz w:val="20"/>
            <w:szCs w:val="20"/>
          </w:rPr>
          <w:fldChar w:fldCharType="separate"/>
        </w:r>
        <w:r w:rsidRPr="001C4F8B">
          <w:rPr>
            <w:rStyle w:val="PageNumber"/>
            <w:rFonts w:ascii="Avenir Book" w:hAnsi="Avenir Book"/>
            <w:b/>
            <w:bCs/>
            <w:noProof/>
            <w:color w:val="11639F"/>
            <w:sz w:val="20"/>
            <w:szCs w:val="20"/>
          </w:rPr>
          <w:t>2</w:t>
        </w:r>
        <w:r w:rsidRPr="001C4F8B">
          <w:rPr>
            <w:rStyle w:val="PageNumber"/>
            <w:rFonts w:ascii="Avenir Book" w:hAnsi="Avenir Book"/>
            <w:b/>
            <w:bCs/>
            <w:color w:val="11639F"/>
            <w:sz w:val="20"/>
            <w:szCs w:val="20"/>
          </w:rPr>
          <w:fldChar w:fldCharType="end"/>
        </w:r>
      </w:p>
    </w:sdtContent>
  </w:sdt>
  <w:p w14:paraId="3B3F2725" w14:textId="57E70134" w:rsidR="009D7C3C" w:rsidRPr="001D3F1B" w:rsidRDefault="002C5E6F" w:rsidP="00FD5A4E">
    <w:pPr>
      <w:pStyle w:val="Footer"/>
      <w:spacing w:before="80"/>
      <w:ind w:right="360"/>
      <w:jc w:val="center"/>
      <w:rPr>
        <w:rFonts w:ascii="Avenir Book" w:hAnsi="Avenir Book"/>
        <w:color w:val="11639F"/>
        <w:sz w:val="20"/>
        <w:szCs w:val="20"/>
        <w:lang w:val="en-US"/>
      </w:rPr>
    </w:pPr>
    <w:r w:rsidRPr="001D3F1B">
      <w:rPr>
        <w:rFonts w:ascii="Avenir Book" w:hAnsi="Avenir Book"/>
        <w:color w:val="11639F"/>
        <w:sz w:val="20"/>
        <w:szCs w:val="20"/>
        <w:lang w:val="en-US"/>
      </w:rPr>
      <w:t>© 202</w:t>
    </w:r>
    <w:r w:rsidR="00A84821">
      <w:rPr>
        <w:rFonts w:ascii="Avenir Book" w:hAnsi="Avenir Book"/>
        <w:color w:val="11639F"/>
        <w:sz w:val="20"/>
        <w:szCs w:val="20"/>
        <w:lang w:val="en-US"/>
      </w:rPr>
      <w:t>5</w:t>
    </w:r>
    <w:r w:rsidRPr="001D3F1B">
      <w:rPr>
        <w:rFonts w:ascii="Avenir Book" w:hAnsi="Avenir Book"/>
        <w:color w:val="11639F"/>
        <w:sz w:val="20"/>
        <w:szCs w:val="20"/>
        <w:lang w:val="en-US"/>
      </w:rPr>
      <w:t xml:space="preserve"> European Society of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Book" w:hAnsi="Avenir Book"/>
        <w:sz w:val="20"/>
        <w:szCs w:val="20"/>
      </w:rPr>
      <w:id w:val="433337435"/>
      <w:docPartObj>
        <w:docPartGallery w:val="Page Numbers (Bottom of Page)"/>
        <w:docPartUnique/>
      </w:docPartObj>
    </w:sdtPr>
    <w:sdtEndPr>
      <w:rPr>
        <w:rStyle w:val="PageNumber"/>
      </w:rPr>
    </w:sdtEndPr>
    <w:sdtContent>
      <w:p w14:paraId="0C2A307E" w14:textId="6037B139" w:rsidR="00227027" w:rsidRPr="00FC7E8C" w:rsidRDefault="00227027" w:rsidP="005B5C7B">
        <w:pPr>
          <w:pStyle w:val="Footer"/>
          <w:framePr w:wrap="none" w:vAnchor="text" w:hAnchor="margin" w:xAlign="right" w:y="1"/>
          <w:rPr>
            <w:rStyle w:val="PageNumber"/>
            <w:rFonts w:ascii="Avenir Book" w:hAnsi="Avenir Book"/>
            <w:sz w:val="20"/>
            <w:szCs w:val="20"/>
          </w:rPr>
        </w:pPr>
        <w:r w:rsidRPr="001D3F1B">
          <w:rPr>
            <w:rStyle w:val="PageNumber"/>
            <w:rFonts w:ascii="Avenir Book" w:hAnsi="Avenir Book"/>
            <w:b/>
            <w:bCs/>
            <w:color w:val="11639F"/>
            <w:sz w:val="20"/>
            <w:szCs w:val="20"/>
          </w:rPr>
          <w:fldChar w:fldCharType="begin"/>
        </w:r>
        <w:r w:rsidRPr="001D3F1B">
          <w:rPr>
            <w:rStyle w:val="PageNumber"/>
            <w:rFonts w:ascii="Avenir Book" w:hAnsi="Avenir Book"/>
            <w:b/>
            <w:bCs/>
            <w:color w:val="11639F"/>
            <w:sz w:val="20"/>
            <w:szCs w:val="20"/>
          </w:rPr>
          <w:instrText xml:space="preserve"> PAGE </w:instrText>
        </w:r>
        <w:r w:rsidRPr="001D3F1B">
          <w:rPr>
            <w:rStyle w:val="PageNumber"/>
            <w:rFonts w:ascii="Avenir Book" w:hAnsi="Avenir Book"/>
            <w:b/>
            <w:bCs/>
            <w:color w:val="11639F"/>
            <w:sz w:val="20"/>
            <w:szCs w:val="20"/>
          </w:rPr>
          <w:fldChar w:fldCharType="separate"/>
        </w:r>
        <w:r w:rsidRPr="001D3F1B">
          <w:rPr>
            <w:rStyle w:val="PageNumber"/>
            <w:rFonts w:ascii="Avenir Book" w:hAnsi="Avenir Book"/>
            <w:b/>
            <w:bCs/>
            <w:noProof/>
            <w:color w:val="11639F"/>
            <w:sz w:val="20"/>
            <w:szCs w:val="20"/>
          </w:rPr>
          <w:t>1</w:t>
        </w:r>
        <w:r w:rsidRPr="001D3F1B">
          <w:rPr>
            <w:rStyle w:val="PageNumber"/>
            <w:rFonts w:ascii="Avenir Book" w:hAnsi="Avenir Book"/>
            <w:b/>
            <w:bCs/>
            <w:color w:val="11639F"/>
            <w:sz w:val="20"/>
            <w:szCs w:val="20"/>
          </w:rPr>
          <w:fldChar w:fldCharType="end"/>
        </w:r>
      </w:p>
    </w:sdtContent>
  </w:sdt>
  <w:p w14:paraId="3488F744" w14:textId="45337318" w:rsidR="00227027" w:rsidRPr="001D3F1B" w:rsidRDefault="004E2692" w:rsidP="004E2692">
    <w:pPr>
      <w:pStyle w:val="Footer"/>
      <w:ind w:right="360"/>
      <w:jc w:val="center"/>
      <w:rPr>
        <w:rFonts w:ascii="Avenir Book" w:hAnsi="Avenir Book"/>
        <w:color w:val="11639F"/>
        <w:sz w:val="20"/>
        <w:szCs w:val="20"/>
        <w:lang w:val="en-US"/>
      </w:rPr>
    </w:pPr>
    <w:r w:rsidRPr="001D3F1B">
      <w:rPr>
        <w:rFonts w:ascii="Avenir Book" w:hAnsi="Avenir Book"/>
        <w:color w:val="11639F"/>
        <w:sz w:val="20"/>
        <w:szCs w:val="20"/>
        <w:lang w:val="en-US"/>
      </w:rPr>
      <w:t>© 202</w:t>
    </w:r>
    <w:r w:rsidR="00C94671">
      <w:rPr>
        <w:rFonts w:ascii="Avenir Book" w:hAnsi="Avenir Book"/>
        <w:color w:val="11639F"/>
        <w:sz w:val="20"/>
        <w:szCs w:val="20"/>
        <w:lang w:val="en-US"/>
      </w:rPr>
      <w:t>5</w:t>
    </w:r>
    <w:r w:rsidRPr="001D3F1B">
      <w:rPr>
        <w:rFonts w:ascii="Avenir Book" w:hAnsi="Avenir Book"/>
        <w:color w:val="11639F"/>
        <w:sz w:val="20"/>
        <w:szCs w:val="20"/>
        <w:lang w:val="en-US"/>
      </w:rPr>
      <w:t xml:space="preserve"> European Society of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3120" w14:textId="77777777" w:rsidR="007D10E9" w:rsidRDefault="007D10E9" w:rsidP="00A85AB7">
      <w:r>
        <w:separator/>
      </w:r>
    </w:p>
  </w:footnote>
  <w:footnote w:type="continuationSeparator" w:id="0">
    <w:p w14:paraId="46FE98DA" w14:textId="77777777" w:rsidR="007D10E9" w:rsidRDefault="007D10E9" w:rsidP="00A8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9B0A" w14:textId="6CB43E64" w:rsidR="009D3339" w:rsidRPr="00DF6A51" w:rsidRDefault="00DF6A51" w:rsidP="00DF6A51">
    <w:pPr>
      <w:pStyle w:val="Header"/>
      <w:spacing w:after="60"/>
      <w:jc w:val="center"/>
    </w:pPr>
    <w:r w:rsidRPr="00DF6A51">
      <w:rPr>
        <w:rFonts w:ascii="Avenir Book" w:hAnsi="Avenir Book"/>
        <w:color w:val="DF8420"/>
        <w:sz w:val="20"/>
        <w:szCs w:val="20"/>
        <w:lang w:val="en-US"/>
      </w:rPr>
      <w:t>Built Environment as a Dangerous Ecosystem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7319F9"/>
    <w:multiLevelType w:val="singleLevel"/>
    <w:tmpl w:val="A37319F9"/>
    <w:lvl w:ilvl="0">
      <w:start w:val="1"/>
      <w:numFmt w:val="decimal"/>
      <w:lvlText w:val="%1."/>
      <w:lvlJc w:val="left"/>
      <w:pPr>
        <w:tabs>
          <w:tab w:val="left" w:pos="-1848"/>
        </w:tabs>
      </w:pPr>
    </w:lvl>
  </w:abstractNum>
  <w:abstractNum w:abstractNumId="1" w15:restartNumberingAfterBreak="0">
    <w:nsid w:val="00F90F2B"/>
    <w:multiLevelType w:val="multilevel"/>
    <w:tmpl w:val="262CA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D5078"/>
    <w:multiLevelType w:val="hybridMultilevel"/>
    <w:tmpl w:val="842E62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8351549"/>
    <w:multiLevelType w:val="hybridMultilevel"/>
    <w:tmpl w:val="8F2E5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D5944"/>
    <w:multiLevelType w:val="hybridMultilevel"/>
    <w:tmpl w:val="AC42E2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9E74D36"/>
    <w:multiLevelType w:val="hybridMultilevel"/>
    <w:tmpl w:val="C02E36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8B24531"/>
    <w:multiLevelType w:val="hybridMultilevel"/>
    <w:tmpl w:val="0C349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D70D3C"/>
    <w:multiLevelType w:val="multilevel"/>
    <w:tmpl w:val="B44C7B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5E400C6B"/>
    <w:multiLevelType w:val="multilevel"/>
    <w:tmpl w:val="51D85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D05619"/>
    <w:multiLevelType w:val="hybridMultilevel"/>
    <w:tmpl w:val="8DD82A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6BAE4CCD"/>
    <w:multiLevelType w:val="multilevel"/>
    <w:tmpl w:val="30A44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FC4A32"/>
    <w:multiLevelType w:val="hybridMultilevel"/>
    <w:tmpl w:val="27B23F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74007394"/>
    <w:multiLevelType w:val="hybridMultilevel"/>
    <w:tmpl w:val="6EF88360"/>
    <w:lvl w:ilvl="0" w:tplc="17EAB850">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75B20D26"/>
    <w:multiLevelType w:val="multilevel"/>
    <w:tmpl w:val="2E34F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E340F0"/>
    <w:multiLevelType w:val="hybridMultilevel"/>
    <w:tmpl w:val="FC028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490955">
    <w:abstractNumId w:val="6"/>
  </w:num>
  <w:num w:numId="2" w16cid:durableId="1924609213">
    <w:abstractNumId w:val="14"/>
  </w:num>
  <w:num w:numId="3" w16cid:durableId="737824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4432245">
    <w:abstractNumId w:val="0"/>
  </w:num>
  <w:num w:numId="5" w16cid:durableId="1994065810">
    <w:abstractNumId w:val="7"/>
  </w:num>
  <w:num w:numId="6" w16cid:durableId="317345710">
    <w:abstractNumId w:val="8"/>
  </w:num>
  <w:num w:numId="7" w16cid:durableId="1414087011">
    <w:abstractNumId w:val="1"/>
  </w:num>
  <w:num w:numId="8" w16cid:durableId="2029520665">
    <w:abstractNumId w:val="13"/>
  </w:num>
  <w:num w:numId="9" w16cid:durableId="1924879115">
    <w:abstractNumId w:val="10"/>
  </w:num>
  <w:num w:numId="10" w16cid:durableId="2098675757">
    <w:abstractNumId w:val="3"/>
  </w:num>
  <w:num w:numId="11" w16cid:durableId="462162002">
    <w:abstractNumId w:val="11"/>
  </w:num>
  <w:num w:numId="12" w16cid:durableId="920682093">
    <w:abstractNumId w:val="9"/>
  </w:num>
  <w:num w:numId="13" w16cid:durableId="1212763471">
    <w:abstractNumId w:val="4"/>
  </w:num>
  <w:num w:numId="14" w16cid:durableId="1634210794">
    <w:abstractNumId w:val="5"/>
  </w:num>
  <w:num w:numId="15" w16cid:durableId="637879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NjK0MDKyNDW1sDBS0lEKTi0uzszPAykwqgUAJfsPQCwAAAA="/>
  </w:docVars>
  <w:rsids>
    <w:rsidRoot w:val="00C00711"/>
    <w:rsid w:val="00010699"/>
    <w:rsid w:val="000144AD"/>
    <w:rsid w:val="000244D0"/>
    <w:rsid w:val="000253A9"/>
    <w:rsid w:val="00025E58"/>
    <w:rsid w:val="00033C2F"/>
    <w:rsid w:val="00033EEB"/>
    <w:rsid w:val="000431EB"/>
    <w:rsid w:val="00054188"/>
    <w:rsid w:val="000549CF"/>
    <w:rsid w:val="0005774A"/>
    <w:rsid w:val="00061065"/>
    <w:rsid w:val="00063772"/>
    <w:rsid w:val="00080EB3"/>
    <w:rsid w:val="00095EF6"/>
    <w:rsid w:val="000A0D21"/>
    <w:rsid w:val="000A1AB1"/>
    <w:rsid w:val="000A2881"/>
    <w:rsid w:val="000A6CB1"/>
    <w:rsid w:val="000C24EF"/>
    <w:rsid w:val="000D3BC2"/>
    <w:rsid w:val="000D47E8"/>
    <w:rsid w:val="000E5BD7"/>
    <w:rsid w:val="000E6F9A"/>
    <w:rsid w:val="000E707E"/>
    <w:rsid w:val="000F1EAF"/>
    <w:rsid w:val="000F36B2"/>
    <w:rsid w:val="001040DF"/>
    <w:rsid w:val="0011329F"/>
    <w:rsid w:val="00125092"/>
    <w:rsid w:val="00125B38"/>
    <w:rsid w:val="00126667"/>
    <w:rsid w:val="0012734F"/>
    <w:rsid w:val="00131693"/>
    <w:rsid w:val="00135426"/>
    <w:rsid w:val="00141AFE"/>
    <w:rsid w:val="00142F25"/>
    <w:rsid w:val="00143436"/>
    <w:rsid w:val="00143FA1"/>
    <w:rsid w:val="001466B6"/>
    <w:rsid w:val="00151651"/>
    <w:rsid w:val="00155033"/>
    <w:rsid w:val="00161958"/>
    <w:rsid w:val="00170D48"/>
    <w:rsid w:val="00172B1C"/>
    <w:rsid w:val="00183010"/>
    <w:rsid w:val="0018331B"/>
    <w:rsid w:val="00193810"/>
    <w:rsid w:val="00196BA9"/>
    <w:rsid w:val="001A6C13"/>
    <w:rsid w:val="001C4F8B"/>
    <w:rsid w:val="001D3F1B"/>
    <w:rsid w:val="001D618C"/>
    <w:rsid w:val="001E204D"/>
    <w:rsid w:val="001E4DB2"/>
    <w:rsid w:val="001F36A5"/>
    <w:rsid w:val="001F784C"/>
    <w:rsid w:val="00210AD4"/>
    <w:rsid w:val="00210EA1"/>
    <w:rsid w:val="00211B17"/>
    <w:rsid w:val="00211FB9"/>
    <w:rsid w:val="00227027"/>
    <w:rsid w:val="00230E2A"/>
    <w:rsid w:val="00231310"/>
    <w:rsid w:val="00246DE9"/>
    <w:rsid w:val="00250AC9"/>
    <w:rsid w:val="00256360"/>
    <w:rsid w:val="00265986"/>
    <w:rsid w:val="00266FB4"/>
    <w:rsid w:val="0026786D"/>
    <w:rsid w:val="002701FF"/>
    <w:rsid w:val="00270FF0"/>
    <w:rsid w:val="0028765A"/>
    <w:rsid w:val="00290895"/>
    <w:rsid w:val="002B02EA"/>
    <w:rsid w:val="002C37FA"/>
    <w:rsid w:val="002C41C5"/>
    <w:rsid w:val="002C429C"/>
    <w:rsid w:val="002C5E6F"/>
    <w:rsid w:val="002E7129"/>
    <w:rsid w:val="002F0281"/>
    <w:rsid w:val="00300FDA"/>
    <w:rsid w:val="003147A8"/>
    <w:rsid w:val="00315BB0"/>
    <w:rsid w:val="00316F58"/>
    <w:rsid w:val="003252E5"/>
    <w:rsid w:val="00325A8F"/>
    <w:rsid w:val="0032660A"/>
    <w:rsid w:val="00327149"/>
    <w:rsid w:val="00335870"/>
    <w:rsid w:val="003439EF"/>
    <w:rsid w:val="00343D2E"/>
    <w:rsid w:val="0034687C"/>
    <w:rsid w:val="00365FE9"/>
    <w:rsid w:val="003665B3"/>
    <w:rsid w:val="00371DFA"/>
    <w:rsid w:val="003742DE"/>
    <w:rsid w:val="003812B3"/>
    <w:rsid w:val="003828AA"/>
    <w:rsid w:val="0039292C"/>
    <w:rsid w:val="00393DCE"/>
    <w:rsid w:val="003A04C4"/>
    <w:rsid w:val="003A2949"/>
    <w:rsid w:val="003B7D8B"/>
    <w:rsid w:val="003E2308"/>
    <w:rsid w:val="003F32B3"/>
    <w:rsid w:val="003F5BFC"/>
    <w:rsid w:val="003F65A4"/>
    <w:rsid w:val="00401A23"/>
    <w:rsid w:val="0040210D"/>
    <w:rsid w:val="00407128"/>
    <w:rsid w:val="00417017"/>
    <w:rsid w:val="00433A28"/>
    <w:rsid w:val="00433B99"/>
    <w:rsid w:val="00446FBA"/>
    <w:rsid w:val="00452D5F"/>
    <w:rsid w:val="0045406D"/>
    <w:rsid w:val="00455823"/>
    <w:rsid w:val="00462536"/>
    <w:rsid w:val="00463421"/>
    <w:rsid w:val="004729B9"/>
    <w:rsid w:val="00474F51"/>
    <w:rsid w:val="00476464"/>
    <w:rsid w:val="0048570B"/>
    <w:rsid w:val="00485F07"/>
    <w:rsid w:val="004877F7"/>
    <w:rsid w:val="004A04D7"/>
    <w:rsid w:val="004A1142"/>
    <w:rsid w:val="004A57BA"/>
    <w:rsid w:val="004A7574"/>
    <w:rsid w:val="004B22D1"/>
    <w:rsid w:val="004C5739"/>
    <w:rsid w:val="004E2692"/>
    <w:rsid w:val="004E66BD"/>
    <w:rsid w:val="004F705E"/>
    <w:rsid w:val="005017C0"/>
    <w:rsid w:val="0050253A"/>
    <w:rsid w:val="00512B2F"/>
    <w:rsid w:val="00515EB0"/>
    <w:rsid w:val="00521633"/>
    <w:rsid w:val="00525232"/>
    <w:rsid w:val="0052642F"/>
    <w:rsid w:val="005276CD"/>
    <w:rsid w:val="0054007D"/>
    <w:rsid w:val="0054059D"/>
    <w:rsid w:val="00543F50"/>
    <w:rsid w:val="00545464"/>
    <w:rsid w:val="005467EB"/>
    <w:rsid w:val="0055565B"/>
    <w:rsid w:val="00555B3A"/>
    <w:rsid w:val="00555BB8"/>
    <w:rsid w:val="00564034"/>
    <w:rsid w:val="00584DE4"/>
    <w:rsid w:val="005855CF"/>
    <w:rsid w:val="005867A1"/>
    <w:rsid w:val="00586F55"/>
    <w:rsid w:val="00587CEF"/>
    <w:rsid w:val="005C59CD"/>
    <w:rsid w:val="005D0C9F"/>
    <w:rsid w:val="005D13F6"/>
    <w:rsid w:val="005D3007"/>
    <w:rsid w:val="005D3F9E"/>
    <w:rsid w:val="005D774A"/>
    <w:rsid w:val="005E103F"/>
    <w:rsid w:val="005E2DC5"/>
    <w:rsid w:val="005F02A3"/>
    <w:rsid w:val="005F4F65"/>
    <w:rsid w:val="006040F5"/>
    <w:rsid w:val="00607657"/>
    <w:rsid w:val="006125F5"/>
    <w:rsid w:val="006239D9"/>
    <w:rsid w:val="00623AA7"/>
    <w:rsid w:val="00640896"/>
    <w:rsid w:val="00641EB9"/>
    <w:rsid w:val="00644422"/>
    <w:rsid w:val="00646C02"/>
    <w:rsid w:val="00657453"/>
    <w:rsid w:val="00664EA9"/>
    <w:rsid w:val="006713E2"/>
    <w:rsid w:val="00671EFD"/>
    <w:rsid w:val="00673577"/>
    <w:rsid w:val="00673A41"/>
    <w:rsid w:val="006757C8"/>
    <w:rsid w:val="006758AC"/>
    <w:rsid w:val="006809D8"/>
    <w:rsid w:val="00687651"/>
    <w:rsid w:val="00687FBB"/>
    <w:rsid w:val="00696D08"/>
    <w:rsid w:val="00697A63"/>
    <w:rsid w:val="006A2687"/>
    <w:rsid w:val="006A52E4"/>
    <w:rsid w:val="006A696A"/>
    <w:rsid w:val="006B3618"/>
    <w:rsid w:val="006B58C7"/>
    <w:rsid w:val="006B6F01"/>
    <w:rsid w:val="006B74A1"/>
    <w:rsid w:val="006C1B0A"/>
    <w:rsid w:val="006D43B6"/>
    <w:rsid w:val="006D7F40"/>
    <w:rsid w:val="006E38B6"/>
    <w:rsid w:val="006E402C"/>
    <w:rsid w:val="0070750C"/>
    <w:rsid w:val="00712153"/>
    <w:rsid w:val="007133C2"/>
    <w:rsid w:val="00714C9E"/>
    <w:rsid w:val="007178C1"/>
    <w:rsid w:val="00720C4B"/>
    <w:rsid w:val="00720C4E"/>
    <w:rsid w:val="00730363"/>
    <w:rsid w:val="007338C3"/>
    <w:rsid w:val="00734DD1"/>
    <w:rsid w:val="00736E0F"/>
    <w:rsid w:val="007374B1"/>
    <w:rsid w:val="0074140A"/>
    <w:rsid w:val="00751202"/>
    <w:rsid w:val="007551BA"/>
    <w:rsid w:val="00780623"/>
    <w:rsid w:val="007814C7"/>
    <w:rsid w:val="0078555C"/>
    <w:rsid w:val="00797A49"/>
    <w:rsid w:val="007A414E"/>
    <w:rsid w:val="007B7AC7"/>
    <w:rsid w:val="007C437C"/>
    <w:rsid w:val="007C60AD"/>
    <w:rsid w:val="007D10E9"/>
    <w:rsid w:val="007D1822"/>
    <w:rsid w:val="007D3B14"/>
    <w:rsid w:val="007D465B"/>
    <w:rsid w:val="007D4DB8"/>
    <w:rsid w:val="007E6E71"/>
    <w:rsid w:val="007F49C6"/>
    <w:rsid w:val="00803FB3"/>
    <w:rsid w:val="008052DD"/>
    <w:rsid w:val="008068E5"/>
    <w:rsid w:val="00810008"/>
    <w:rsid w:val="00810847"/>
    <w:rsid w:val="00811951"/>
    <w:rsid w:val="00811E3B"/>
    <w:rsid w:val="008165F3"/>
    <w:rsid w:val="00820632"/>
    <w:rsid w:val="00832F11"/>
    <w:rsid w:val="008369B0"/>
    <w:rsid w:val="00842A56"/>
    <w:rsid w:val="00852F0A"/>
    <w:rsid w:val="00861681"/>
    <w:rsid w:val="008677E9"/>
    <w:rsid w:val="00870C61"/>
    <w:rsid w:val="00873E90"/>
    <w:rsid w:val="00882C31"/>
    <w:rsid w:val="0089052B"/>
    <w:rsid w:val="0089750C"/>
    <w:rsid w:val="008A5509"/>
    <w:rsid w:val="008B318A"/>
    <w:rsid w:val="008B6685"/>
    <w:rsid w:val="008C4718"/>
    <w:rsid w:val="008C5DC8"/>
    <w:rsid w:val="008D141C"/>
    <w:rsid w:val="008D1B33"/>
    <w:rsid w:val="008E09B6"/>
    <w:rsid w:val="008E1F6F"/>
    <w:rsid w:val="008E725C"/>
    <w:rsid w:val="008F6FB8"/>
    <w:rsid w:val="008F738A"/>
    <w:rsid w:val="009004A7"/>
    <w:rsid w:val="00906F35"/>
    <w:rsid w:val="00927AEA"/>
    <w:rsid w:val="00927DE1"/>
    <w:rsid w:val="00927FB2"/>
    <w:rsid w:val="0093245C"/>
    <w:rsid w:val="00933BD9"/>
    <w:rsid w:val="00937603"/>
    <w:rsid w:val="00943E29"/>
    <w:rsid w:val="00946DC9"/>
    <w:rsid w:val="00947AC5"/>
    <w:rsid w:val="00956119"/>
    <w:rsid w:val="00957415"/>
    <w:rsid w:val="00960895"/>
    <w:rsid w:val="00962214"/>
    <w:rsid w:val="00973C4E"/>
    <w:rsid w:val="00977D7F"/>
    <w:rsid w:val="00980956"/>
    <w:rsid w:val="00982078"/>
    <w:rsid w:val="009821E4"/>
    <w:rsid w:val="00983C26"/>
    <w:rsid w:val="0099004D"/>
    <w:rsid w:val="009925C0"/>
    <w:rsid w:val="00992BBB"/>
    <w:rsid w:val="00994E33"/>
    <w:rsid w:val="009A1853"/>
    <w:rsid w:val="009B0F1D"/>
    <w:rsid w:val="009B24B4"/>
    <w:rsid w:val="009D3339"/>
    <w:rsid w:val="009D7C3C"/>
    <w:rsid w:val="009D7F11"/>
    <w:rsid w:val="009E40BC"/>
    <w:rsid w:val="009F099F"/>
    <w:rsid w:val="00A014B7"/>
    <w:rsid w:val="00A12308"/>
    <w:rsid w:val="00A2381D"/>
    <w:rsid w:val="00A36B72"/>
    <w:rsid w:val="00A41F96"/>
    <w:rsid w:val="00A4440C"/>
    <w:rsid w:val="00A47247"/>
    <w:rsid w:val="00A513B8"/>
    <w:rsid w:val="00A55344"/>
    <w:rsid w:val="00A553C1"/>
    <w:rsid w:val="00A74B9A"/>
    <w:rsid w:val="00A81B11"/>
    <w:rsid w:val="00A81C91"/>
    <w:rsid w:val="00A822BA"/>
    <w:rsid w:val="00A84821"/>
    <w:rsid w:val="00A8494C"/>
    <w:rsid w:val="00A85AB7"/>
    <w:rsid w:val="00A861F9"/>
    <w:rsid w:val="00A86BBD"/>
    <w:rsid w:val="00A9475B"/>
    <w:rsid w:val="00AA15FD"/>
    <w:rsid w:val="00AA2875"/>
    <w:rsid w:val="00AB103D"/>
    <w:rsid w:val="00AB38FB"/>
    <w:rsid w:val="00AB55F5"/>
    <w:rsid w:val="00AB7808"/>
    <w:rsid w:val="00AD1A3F"/>
    <w:rsid w:val="00AE170F"/>
    <w:rsid w:val="00AF022C"/>
    <w:rsid w:val="00AF1316"/>
    <w:rsid w:val="00AF18E8"/>
    <w:rsid w:val="00B042BB"/>
    <w:rsid w:val="00B062AF"/>
    <w:rsid w:val="00B225D8"/>
    <w:rsid w:val="00B2337C"/>
    <w:rsid w:val="00B312C0"/>
    <w:rsid w:val="00B34D51"/>
    <w:rsid w:val="00B40FD4"/>
    <w:rsid w:val="00B56CF4"/>
    <w:rsid w:val="00B6577B"/>
    <w:rsid w:val="00B66021"/>
    <w:rsid w:val="00B84301"/>
    <w:rsid w:val="00B85AAB"/>
    <w:rsid w:val="00B9129B"/>
    <w:rsid w:val="00B92128"/>
    <w:rsid w:val="00B937E6"/>
    <w:rsid w:val="00BA03B0"/>
    <w:rsid w:val="00BA57D0"/>
    <w:rsid w:val="00BA65B4"/>
    <w:rsid w:val="00BB0D25"/>
    <w:rsid w:val="00BC60B7"/>
    <w:rsid w:val="00BC63BC"/>
    <w:rsid w:val="00BC7C7B"/>
    <w:rsid w:val="00BD0D02"/>
    <w:rsid w:val="00BE3298"/>
    <w:rsid w:val="00BE4544"/>
    <w:rsid w:val="00BE59E8"/>
    <w:rsid w:val="00BE6DA3"/>
    <w:rsid w:val="00BE7EF6"/>
    <w:rsid w:val="00BF46ED"/>
    <w:rsid w:val="00BF4F25"/>
    <w:rsid w:val="00BF6DFF"/>
    <w:rsid w:val="00C00711"/>
    <w:rsid w:val="00C051D0"/>
    <w:rsid w:val="00C10176"/>
    <w:rsid w:val="00C11B84"/>
    <w:rsid w:val="00C13FAA"/>
    <w:rsid w:val="00C20728"/>
    <w:rsid w:val="00C20776"/>
    <w:rsid w:val="00C213E0"/>
    <w:rsid w:val="00C25691"/>
    <w:rsid w:val="00C47446"/>
    <w:rsid w:val="00C54CEB"/>
    <w:rsid w:val="00C62CFE"/>
    <w:rsid w:val="00C6411D"/>
    <w:rsid w:val="00C70BDF"/>
    <w:rsid w:val="00C7601B"/>
    <w:rsid w:val="00C83113"/>
    <w:rsid w:val="00C84879"/>
    <w:rsid w:val="00C94671"/>
    <w:rsid w:val="00C95CFB"/>
    <w:rsid w:val="00CA4C11"/>
    <w:rsid w:val="00CA61BD"/>
    <w:rsid w:val="00CA7E15"/>
    <w:rsid w:val="00CB5575"/>
    <w:rsid w:val="00CC6EFB"/>
    <w:rsid w:val="00CC7987"/>
    <w:rsid w:val="00CD13EF"/>
    <w:rsid w:val="00CD4D56"/>
    <w:rsid w:val="00CE3148"/>
    <w:rsid w:val="00CE31A8"/>
    <w:rsid w:val="00D01035"/>
    <w:rsid w:val="00D12593"/>
    <w:rsid w:val="00D12A2E"/>
    <w:rsid w:val="00D16044"/>
    <w:rsid w:val="00D23309"/>
    <w:rsid w:val="00D23693"/>
    <w:rsid w:val="00D257DB"/>
    <w:rsid w:val="00D25B0A"/>
    <w:rsid w:val="00D31372"/>
    <w:rsid w:val="00D33ED5"/>
    <w:rsid w:val="00D376D0"/>
    <w:rsid w:val="00D40739"/>
    <w:rsid w:val="00D5139A"/>
    <w:rsid w:val="00D51D35"/>
    <w:rsid w:val="00D52D7D"/>
    <w:rsid w:val="00D60266"/>
    <w:rsid w:val="00D62085"/>
    <w:rsid w:val="00D673B1"/>
    <w:rsid w:val="00D70888"/>
    <w:rsid w:val="00D71491"/>
    <w:rsid w:val="00D908A0"/>
    <w:rsid w:val="00D91A67"/>
    <w:rsid w:val="00D924DF"/>
    <w:rsid w:val="00D95F10"/>
    <w:rsid w:val="00DA3F1C"/>
    <w:rsid w:val="00DB3144"/>
    <w:rsid w:val="00DB3C24"/>
    <w:rsid w:val="00DB4C73"/>
    <w:rsid w:val="00DC513D"/>
    <w:rsid w:val="00DD4F52"/>
    <w:rsid w:val="00DD79FE"/>
    <w:rsid w:val="00DE1CE8"/>
    <w:rsid w:val="00DE5887"/>
    <w:rsid w:val="00DE5973"/>
    <w:rsid w:val="00DE6889"/>
    <w:rsid w:val="00DE6F60"/>
    <w:rsid w:val="00DE74CD"/>
    <w:rsid w:val="00DF37D2"/>
    <w:rsid w:val="00DF6A51"/>
    <w:rsid w:val="00E00852"/>
    <w:rsid w:val="00E0120C"/>
    <w:rsid w:val="00E121A4"/>
    <w:rsid w:val="00E20806"/>
    <w:rsid w:val="00E25F5E"/>
    <w:rsid w:val="00E3414E"/>
    <w:rsid w:val="00E344F3"/>
    <w:rsid w:val="00E3746F"/>
    <w:rsid w:val="00E55AA9"/>
    <w:rsid w:val="00E672BE"/>
    <w:rsid w:val="00E75961"/>
    <w:rsid w:val="00E809D1"/>
    <w:rsid w:val="00E81FA1"/>
    <w:rsid w:val="00E83844"/>
    <w:rsid w:val="00E86279"/>
    <w:rsid w:val="00E8669B"/>
    <w:rsid w:val="00EA5824"/>
    <w:rsid w:val="00EB1D6A"/>
    <w:rsid w:val="00EB1FD6"/>
    <w:rsid w:val="00EB378E"/>
    <w:rsid w:val="00EB37E7"/>
    <w:rsid w:val="00EB5372"/>
    <w:rsid w:val="00EB693C"/>
    <w:rsid w:val="00EB7481"/>
    <w:rsid w:val="00EC0734"/>
    <w:rsid w:val="00EC37B4"/>
    <w:rsid w:val="00EC628A"/>
    <w:rsid w:val="00ED747B"/>
    <w:rsid w:val="00EE687E"/>
    <w:rsid w:val="00EF0222"/>
    <w:rsid w:val="00EF470B"/>
    <w:rsid w:val="00EF7D1B"/>
    <w:rsid w:val="00F04255"/>
    <w:rsid w:val="00F118BC"/>
    <w:rsid w:val="00F14E60"/>
    <w:rsid w:val="00F17693"/>
    <w:rsid w:val="00F257B8"/>
    <w:rsid w:val="00F30800"/>
    <w:rsid w:val="00F30BC0"/>
    <w:rsid w:val="00F33424"/>
    <w:rsid w:val="00F33824"/>
    <w:rsid w:val="00F35ABF"/>
    <w:rsid w:val="00F471E7"/>
    <w:rsid w:val="00F4724B"/>
    <w:rsid w:val="00F635AE"/>
    <w:rsid w:val="00F75E59"/>
    <w:rsid w:val="00F76411"/>
    <w:rsid w:val="00F903A2"/>
    <w:rsid w:val="00F942C4"/>
    <w:rsid w:val="00FA0AD3"/>
    <w:rsid w:val="00FB0B38"/>
    <w:rsid w:val="00FB4ED8"/>
    <w:rsid w:val="00FC633C"/>
    <w:rsid w:val="00FC7E8C"/>
    <w:rsid w:val="00FD1650"/>
    <w:rsid w:val="00FD24F2"/>
    <w:rsid w:val="00FD3E9D"/>
    <w:rsid w:val="00FD5A4E"/>
    <w:rsid w:val="00FE134B"/>
    <w:rsid w:val="00FF209A"/>
    <w:rsid w:val="00FF4D78"/>
    <w:rsid w:val="00FF537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D7A01"/>
  <w15:chartTrackingRefBased/>
  <w15:docId w15:val="{24F686C9-0B03-3140-BAA9-A6C2E4AA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E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0765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671E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36B72"/>
    <w:pPr>
      <w:keepNext/>
      <w:keepLines/>
      <w:spacing w:before="80" w:after="40" w:line="278" w:lineRule="auto"/>
      <w:outlineLvl w:val="3"/>
    </w:pPr>
    <w:rPr>
      <w:rFonts w:ascii="Calibri" w:eastAsia="Calibri" w:hAnsi="Calibri" w:cs="Calibri"/>
      <w:i/>
      <w:color w:val="2F5496"/>
      <w:lang w:val="en"/>
    </w:rPr>
  </w:style>
  <w:style w:type="paragraph" w:styleId="Heading5">
    <w:name w:val="heading 5"/>
    <w:basedOn w:val="Normal"/>
    <w:next w:val="Normal"/>
    <w:link w:val="Heading5Char"/>
    <w:uiPriority w:val="9"/>
    <w:semiHidden/>
    <w:unhideWhenUsed/>
    <w:qFormat/>
    <w:rsid w:val="00A36B72"/>
    <w:pPr>
      <w:keepNext/>
      <w:keepLines/>
      <w:spacing w:before="80" w:after="40" w:line="278" w:lineRule="auto"/>
      <w:outlineLvl w:val="4"/>
    </w:pPr>
    <w:rPr>
      <w:rFonts w:ascii="Calibri" w:eastAsia="Calibri" w:hAnsi="Calibri" w:cs="Calibri"/>
      <w:color w:val="2F5496"/>
      <w:lang w:val="en"/>
    </w:rPr>
  </w:style>
  <w:style w:type="paragraph" w:styleId="Heading6">
    <w:name w:val="heading 6"/>
    <w:basedOn w:val="Normal"/>
    <w:next w:val="Normal"/>
    <w:link w:val="Heading6Char"/>
    <w:uiPriority w:val="9"/>
    <w:semiHidden/>
    <w:unhideWhenUsed/>
    <w:qFormat/>
    <w:rsid w:val="00A36B72"/>
    <w:pPr>
      <w:keepNext/>
      <w:keepLines/>
      <w:spacing w:before="40" w:line="278" w:lineRule="auto"/>
      <w:outlineLvl w:val="5"/>
    </w:pPr>
    <w:rPr>
      <w:rFonts w:ascii="Calibri" w:eastAsia="Calibri" w:hAnsi="Calibri" w:cs="Calibri"/>
      <w:i/>
      <w:color w:val="595959"/>
      <w:lang w:val="en"/>
    </w:rPr>
  </w:style>
  <w:style w:type="paragraph" w:styleId="Heading7">
    <w:name w:val="heading 7"/>
    <w:basedOn w:val="Normal"/>
    <w:next w:val="Normal"/>
    <w:link w:val="Heading7Char"/>
    <w:uiPriority w:val="9"/>
    <w:semiHidden/>
    <w:unhideWhenUsed/>
    <w:qFormat/>
    <w:rsid w:val="00A36B72"/>
    <w:pPr>
      <w:keepNext/>
      <w:keepLines/>
      <w:spacing w:before="40" w:line="278" w:lineRule="auto"/>
      <w:outlineLvl w:val="6"/>
    </w:pPr>
    <w:rPr>
      <w:rFonts w:ascii="Calibri" w:eastAsiaTheme="majorEastAsia" w:hAnsi="Calibri" w:cstheme="majorBidi"/>
      <w:color w:val="595959" w:themeColor="text1" w:themeTint="A6"/>
      <w:lang w:val="en"/>
    </w:rPr>
  </w:style>
  <w:style w:type="paragraph" w:styleId="Heading8">
    <w:name w:val="heading 8"/>
    <w:basedOn w:val="Normal"/>
    <w:next w:val="Normal"/>
    <w:link w:val="Heading8Char"/>
    <w:uiPriority w:val="9"/>
    <w:semiHidden/>
    <w:unhideWhenUsed/>
    <w:qFormat/>
    <w:rsid w:val="00A36B72"/>
    <w:pPr>
      <w:keepNext/>
      <w:keepLines/>
      <w:spacing w:line="278" w:lineRule="auto"/>
      <w:outlineLvl w:val="7"/>
    </w:pPr>
    <w:rPr>
      <w:rFonts w:ascii="Calibri" w:eastAsiaTheme="majorEastAsia" w:hAnsi="Calibri" w:cstheme="majorBidi"/>
      <w:i/>
      <w:iCs/>
      <w:color w:val="272727" w:themeColor="text1" w:themeTint="D8"/>
      <w:lang w:val="en"/>
    </w:rPr>
  </w:style>
  <w:style w:type="paragraph" w:styleId="Heading9">
    <w:name w:val="heading 9"/>
    <w:basedOn w:val="Normal"/>
    <w:next w:val="Normal"/>
    <w:link w:val="Heading9Char"/>
    <w:uiPriority w:val="9"/>
    <w:semiHidden/>
    <w:unhideWhenUsed/>
    <w:qFormat/>
    <w:rsid w:val="00A36B72"/>
    <w:pPr>
      <w:keepNext/>
      <w:keepLines/>
      <w:spacing w:line="278" w:lineRule="auto"/>
      <w:outlineLvl w:val="8"/>
    </w:pPr>
    <w:rPr>
      <w:rFonts w:ascii="Calibri" w:eastAsiaTheme="majorEastAsia" w:hAnsi="Calibri" w:cstheme="majorBidi"/>
      <w:color w:val="272727" w:themeColor="text1" w:themeTint="D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85AB7"/>
    <w:pPr>
      <w:tabs>
        <w:tab w:val="center" w:pos="4513"/>
        <w:tab w:val="right" w:pos="9026"/>
      </w:tabs>
    </w:pPr>
  </w:style>
  <w:style w:type="character" w:customStyle="1" w:styleId="HeaderChar">
    <w:name w:val="Header Char"/>
    <w:basedOn w:val="DefaultParagraphFont"/>
    <w:link w:val="Header"/>
    <w:uiPriority w:val="99"/>
    <w:rsid w:val="00A85AB7"/>
  </w:style>
  <w:style w:type="paragraph" w:styleId="Footer">
    <w:name w:val="footer"/>
    <w:basedOn w:val="Normal"/>
    <w:link w:val="FooterChar"/>
    <w:uiPriority w:val="99"/>
    <w:unhideWhenUsed/>
    <w:qFormat/>
    <w:rsid w:val="00A85AB7"/>
    <w:pPr>
      <w:tabs>
        <w:tab w:val="center" w:pos="4513"/>
        <w:tab w:val="right" w:pos="9026"/>
      </w:tabs>
    </w:pPr>
  </w:style>
  <w:style w:type="character" w:customStyle="1" w:styleId="FooterChar">
    <w:name w:val="Footer Char"/>
    <w:basedOn w:val="DefaultParagraphFont"/>
    <w:link w:val="Footer"/>
    <w:uiPriority w:val="99"/>
    <w:rsid w:val="00A85AB7"/>
  </w:style>
  <w:style w:type="paragraph" w:styleId="NormalWeb">
    <w:name w:val="Normal (Web)"/>
    <w:basedOn w:val="Normal"/>
    <w:uiPriority w:val="99"/>
    <w:unhideWhenUsed/>
    <w:qFormat/>
    <w:rsid w:val="004A04D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F14E60"/>
    <w:rPr>
      <w:color w:val="0563C1" w:themeColor="hyperlink"/>
      <w:u w:val="single"/>
    </w:rPr>
  </w:style>
  <w:style w:type="character" w:styleId="UnresolvedMention">
    <w:name w:val="Unresolved Mention"/>
    <w:basedOn w:val="DefaultParagraphFont"/>
    <w:uiPriority w:val="99"/>
    <w:semiHidden/>
    <w:unhideWhenUsed/>
    <w:rsid w:val="00F14E60"/>
    <w:rPr>
      <w:color w:val="605E5C"/>
      <w:shd w:val="clear" w:color="auto" w:fill="E1DFDD"/>
    </w:rPr>
  </w:style>
  <w:style w:type="paragraph" w:styleId="ListParagraph">
    <w:name w:val="List Paragraph"/>
    <w:basedOn w:val="Normal"/>
    <w:uiPriority w:val="34"/>
    <w:qFormat/>
    <w:rsid w:val="007D3B14"/>
    <w:pPr>
      <w:ind w:left="720"/>
      <w:contextualSpacing/>
    </w:pPr>
  </w:style>
  <w:style w:type="character" w:styleId="PageNumber">
    <w:name w:val="page number"/>
    <w:basedOn w:val="DefaultParagraphFont"/>
    <w:uiPriority w:val="99"/>
    <w:semiHidden/>
    <w:unhideWhenUsed/>
    <w:rsid w:val="009D7C3C"/>
  </w:style>
  <w:style w:type="character" w:customStyle="1" w:styleId="Heading2Char">
    <w:name w:val="Heading 2 Char"/>
    <w:basedOn w:val="DefaultParagraphFont"/>
    <w:link w:val="Heading2"/>
    <w:uiPriority w:val="9"/>
    <w:qFormat/>
    <w:rsid w:val="00607657"/>
    <w:rPr>
      <w:rFonts w:ascii="Times New Roman" w:eastAsia="Times New Roman" w:hAnsi="Times New Roman" w:cs="Times New Roman"/>
      <w:b/>
      <w:bCs/>
      <w:sz w:val="36"/>
      <w:szCs w:val="36"/>
      <w:lang w:eastAsia="en-GB"/>
    </w:rPr>
  </w:style>
  <w:style w:type="character" w:customStyle="1" w:styleId="Caption1">
    <w:name w:val="Caption1"/>
    <w:basedOn w:val="DefaultParagraphFont"/>
    <w:rsid w:val="00607657"/>
  </w:style>
  <w:style w:type="character" w:styleId="FollowedHyperlink">
    <w:name w:val="FollowedHyperlink"/>
    <w:basedOn w:val="DefaultParagraphFont"/>
    <w:uiPriority w:val="99"/>
    <w:semiHidden/>
    <w:unhideWhenUsed/>
    <w:rsid w:val="00DE6889"/>
    <w:rPr>
      <w:color w:val="954F72" w:themeColor="followedHyperlink"/>
      <w:u w:val="single"/>
    </w:rPr>
  </w:style>
  <w:style w:type="paragraph" w:styleId="EndnoteText">
    <w:name w:val="endnote text"/>
    <w:basedOn w:val="Normal"/>
    <w:link w:val="EndnoteTextChar"/>
    <w:uiPriority w:val="99"/>
    <w:semiHidden/>
    <w:unhideWhenUsed/>
    <w:rsid w:val="00210EA1"/>
    <w:rPr>
      <w:kern w:val="2"/>
      <w:sz w:val="20"/>
      <w:szCs w:val="20"/>
      <w:lang w:val="pt-BR"/>
      <w14:ligatures w14:val="standardContextual"/>
    </w:rPr>
  </w:style>
  <w:style w:type="character" w:customStyle="1" w:styleId="EndnoteTextChar">
    <w:name w:val="Endnote Text Char"/>
    <w:basedOn w:val="DefaultParagraphFont"/>
    <w:link w:val="EndnoteText"/>
    <w:uiPriority w:val="99"/>
    <w:semiHidden/>
    <w:rsid w:val="00210EA1"/>
    <w:rPr>
      <w:kern w:val="2"/>
      <w:sz w:val="20"/>
      <w:szCs w:val="20"/>
      <w:lang w:val="pt-BR"/>
      <w14:ligatures w14:val="standardContextual"/>
    </w:rPr>
  </w:style>
  <w:style w:type="character" w:styleId="FootnoteReference">
    <w:name w:val="footnote reference"/>
    <w:basedOn w:val="DefaultParagraphFont"/>
    <w:uiPriority w:val="99"/>
    <w:semiHidden/>
    <w:unhideWhenUsed/>
    <w:rsid w:val="00210EA1"/>
    <w:rPr>
      <w:vertAlign w:val="superscript"/>
    </w:rPr>
  </w:style>
  <w:style w:type="character" w:styleId="EndnoteReference">
    <w:name w:val="endnote reference"/>
    <w:basedOn w:val="DefaultParagraphFont"/>
    <w:uiPriority w:val="99"/>
    <w:semiHidden/>
    <w:unhideWhenUsed/>
    <w:rsid w:val="00210EA1"/>
    <w:rPr>
      <w:vertAlign w:val="superscript"/>
    </w:rPr>
  </w:style>
  <w:style w:type="character" w:customStyle="1" w:styleId="Heading1Char">
    <w:name w:val="Heading 1 Char"/>
    <w:basedOn w:val="DefaultParagraphFont"/>
    <w:link w:val="Heading1"/>
    <w:uiPriority w:val="9"/>
    <w:qFormat/>
    <w:rsid w:val="00994E33"/>
    <w:rPr>
      <w:rFonts w:asciiTheme="majorHAnsi" w:eastAsiaTheme="majorEastAsia" w:hAnsiTheme="majorHAnsi" w:cstheme="majorBidi"/>
      <w:color w:val="2F5496" w:themeColor="accent1" w:themeShade="BF"/>
      <w:sz w:val="32"/>
      <w:szCs w:val="32"/>
    </w:rPr>
  </w:style>
  <w:style w:type="table" w:styleId="TableGrid">
    <w:name w:val="Table Grid"/>
    <w:basedOn w:val="TableNormal"/>
    <w:qFormat/>
    <w:rsid w:val="0099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semiHidden/>
    <w:rsid w:val="00994E33"/>
    <w:pPr>
      <w:spacing w:before="100" w:beforeAutospacing="1" w:after="100" w:afterAutospacing="1"/>
    </w:pPr>
    <w:rPr>
      <w:rFonts w:ascii="Times New Roman" w:eastAsia="Times New Roman" w:hAnsi="Times New Roman" w:cs="Times New Roman"/>
      <w:lang w:val="en-US"/>
    </w:rPr>
  </w:style>
  <w:style w:type="paragraph" w:styleId="CommentText">
    <w:name w:val="annotation text"/>
    <w:basedOn w:val="Normal"/>
    <w:link w:val="CommentTextChar"/>
    <w:uiPriority w:val="99"/>
    <w:unhideWhenUsed/>
    <w:qFormat/>
    <w:rsid w:val="00994E33"/>
    <w:pPr>
      <w:spacing w:after="120"/>
    </w:pPr>
    <w:rPr>
      <w:rFonts w:ascii="Times New Roman" w:hAnsi="Times New Roman"/>
      <w:kern w:val="2"/>
      <w:sz w:val="20"/>
      <w:szCs w:val="20"/>
      <w:lang w:val="en-US"/>
      <w14:ligatures w14:val="standardContextual"/>
    </w:rPr>
  </w:style>
  <w:style w:type="character" w:customStyle="1" w:styleId="CommentTextChar">
    <w:name w:val="Comment Text Char"/>
    <w:basedOn w:val="DefaultParagraphFont"/>
    <w:link w:val="CommentText"/>
    <w:uiPriority w:val="99"/>
    <w:qFormat/>
    <w:rsid w:val="00994E33"/>
    <w:rPr>
      <w:rFonts w:ascii="Times New Roman" w:hAnsi="Times New Roman"/>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qFormat/>
    <w:rsid w:val="00994E33"/>
    <w:rPr>
      <w:b/>
      <w:bCs/>
    </w:rPr>
  </w:style>
  <w:style w:type="character" w:customStyle="1" w:styleId="CommentSubjectChar">
    <w:name w:val="Comment Subject Char"/>
    <w:basedOn w:val="CommentTextChar"/>
    <w:link w:val="CommentSubject"/>
    <w:uiPriority w:val="99"/>
    <w:semiHidden/>
    <w:qFormat/>
    <w:rsid w:val="00994E33"/>
    <w:rPr>
      <w:rFonts w:ascii="Times New Roman" w:hAnsi="Times New Roman"/>
      <w:b/>
      <w:bCs/>
      <w:kern w:val="2"/>
      <w:sz w:val="20"/>
      <w:szCs w:val="20"/>
      <w:lang w:val="en-US"/>
      <w14:ligatures w14:val="standardContextual"/>
    </w:rPr>
  </w:style>
  <w:style w:type="paragraph" w:styleId="Revision">
    <w:name w:val="Revision"/>
    <w:uiPriority w:val="99"/>
    <w:rsid w:val="00994E33"/>
    <w:rPr>
      <w:rFonts w:ascii="Times New Roman" w:hAnsi="Times New Roman"/>
      <w:kern w:val="2"/>
      <w:lang w:val="en-US"/>
      <w14:ligatures w14:val="standardContextual"/>
    </w:rPr>
  </w:style>
  <w:style w:type="paragraph" w:customStyle="1" w:styleId="paragraph">
    <w:name w:val="paragraph"/>
    <w:basedOn w:val="Normal"/>
    <w:uiPriority w:val="99"/>
    <w:semiHidden/>
    <w:rsid w:val="00994E33"/>
    <w:pPr>
      <w:spacing w:before="100" w:beforeAutospacing="1" w:after="100" w:afterAutospacing="1"/>
    </w:pPr>
    <w:rPr>
      <w:rFonts w:ascii="Times New Roman" w:eastAsia="Times New Roman" w:hAnsi="Times New Roman" w:cs="Times New Roman"/>
      <w:lang w:val="en-US"/>
    </w:rPr>
  </w:style>
  <w:style w:type="character" w:customStyle="1" w:styleId="EndNoteBibliographyTitleChar">
    <w:name w:val="EndNote Bibliography Title Char"/>
    <w:basedOn w:val="DefaultParagraphFont"/>
    <w:link w:val="EndNoteBibliographyTitle"/>
    <w:semiHidden/>
    <w:locked/>
    <w:rsid w:val="00994E33"/>
    <w:rPr>
      <w:rFonts w:ascii="Aptos" w:hAnsi="Aptos"/>
    </w:rPr>
  </w:style>
  <w:style w:type="paragraph" w:customStyle="1" w:styleId="EndNoteBibliographyTitle">
    <w:name w:val="EndNote Bibliography Title"/>
    <w:basedOn w:val="Normal"/>
    <w:link w:val="EndNoteBibliographyTitleChar"/>
    <w:semiHidden/>
    <w:rsid w:val="00994E33"/>
    <w:pPr>
      <w:spacing w:after="120"/>
      <w:jc w:val="center"/>
    </w:pPr>
    <w:rPr>
      <w:rFonts w:ascii="Aptos" w:hAnsi="Aptos"/>
    </w:rPr>
  </w:style>
  <w:style w:type="character" w:customStyle="1" w:styleId="EndNoteBibliographyChar">
    <w:name w:val="EndNote Bibliography Char"/>
    <w:basedOn w:val="DefaultParagraphFont"/>
    <w:link w:val="EndNoteBibliography"/>
    <w:locked/>
    <w:rsid w:val="00994E33"/>
    <w:rPr>
      <w:rFonts w:ascii="Times New Roman" w:hAnsi="Times New Roman" w:cs="Times New Roman"/>
    </w:rPr>
  </w:style>
  <w:style w:type="paragraph" w:customStyle="1" w:styleId="EndNoteBibliography">
    <w:name w:val="EndNote Bibliography"/>
    <w:basedOn w:val="Normal"/>
    <w:link w:val="EndNoteBibliographyChar"/>
    <w:rsid w:val="00994E33"/>
    <w:pPr>
      <w:spacing w:after="120"/>
    </w:pPr>
    <w:rPr>
      <w:rFonts w:ascii="Times New Roman" w:hAnsi="Times New Roman" w:cs="Times New Roman"/>
    </w:rPr>
  </w:style>
  <w:style w:type="character" w:styleId="CommentReference">
    <w:name w:val="annotation reference"/>
    <w:basedOn w:val="DefaultParagraphFont"/>
    <w:uiPriority w:val="99"/>
    <w:unhideWhenUsed/>
    <w:qFormat/>
    <w:rsid w:val="00994E33"/>
    <w:rPr>
      <w:sz w:val="16"/>
      <w:szCs w:val="16"/>
    </w:rPr>
  </w:style>
  <w:style w:type="character" w:customStyle="1" w:styleId="apple-converted-space">
    <w:name w:val="apple-converted-space"/>
    <w:basedOn w:val="DefaultParagraphFont"/>
    <w:rsid w:val="00994E33"/>
  </w:style>
  <w:style w:type="character" w:customStyle="1" w:styleId="normaltextrun">
    <w:name w:val="normaltextrun"/>
    <w:basedOn w:val="DefaultParagraphFont"/>
    <w:rsid w:val="00994E33"/>
  </w:style>
  <w:style w:type="character" w:customStyle="1" w:styleId="eop">
    <w:name w:val="eop"/>
    <w:basedOn w:val="DefaultParagraphFont"/>
    <w:rsid w:val="00994E33"/>
  </w:style>
  <w:style w:type="character" w:customStyle="1" w:styleId="fieldrange">
    <w:name w:val="fieldrange"/>
    <w:basedOn w:val="DefaultParagraphFont"/>
    <w:rsid w:val="00994E33"/>
  </w:style>
  <w:style w:type="character" w:customStyle="1" w:styleId="tabchar">
    <w:name w:val="tabchar"/>
    <w:basedOn w:val="DefaultParagraphFont"/>
    <w:rsid w:val="00994E33"/>
  </w:style>
  <w:style w:type="character" w:customStyle="1" w:styleId="Heading3Char">
    <w:name w:val="Heading 3 Char"/>
    <w:basedOn w:val="DefaultParagraphFont"/>
    <w:link w:val="Heading3"/>
    <w:uiPriority w:val="9"/>
    <w:qFormat/>
    <w:rsid w:val="00671EFD"/>
    <w:rPr>
      <w:rFonts w:asciiTheme="majorHAnsi" w:eastAsiaTheme="majorEastAsia" w:hAnsiTheme="majorHAnsi" w:cstheme="majorBidi"/>
      <w:color w:val="1F3763" w:themeColor="accent1" w:themeShade="7F"/>
    </w:rPr>
  </w:style>
  <w:style w:type="character" w:styleId="Strong">
    <w:name w:val="Strong"/>
    <w:basedOn w:val="DefaultParagraphFont"/>
    <w:autoRedefine/>
    <w:uiPriority w:val="22"/>
    <w:qFormat/>
    <w:rsid w:val="00671EFD"/>
    <w:rPr>
      <w:b/>
    </w:rPr>
  </w:style>
  <w:style w:type="character" w:styleId="Emphasis">
    <w:name w:val="Emphasis"/>
    <w:autoRedefine/>
    <w:uiPriority w:val="20"/>
    <w:qFormat/>
    <w:rsid w:val="00671EFD"/>
    <w:rPr>
      <w:i/>
      <w:iCs/>
    </w:rPr>
  </w:style>
  <w:style w:type="table" w:customStyle="1" w:styleId="TableNormal0">
    <w:name w:val="Table Normal_0"/>
    <w:autoRedefine/>
    <w:unhideWhenUsed/>
    <w:qFormat/>
    <w:rsid w:val="00671EFD"/>
    <w:rPr>
      <w:rFonts w:ascii="Times New Roman" w:eastAsia="SimSun" w:hAnsi="Times New Roman" w:cs="Times New Roman"/>
      <w:sz w:val="20"/>
      <w:szCs w:val="20"/>
      <w:lang w:val="en-US"/>
    </w:rPr>
    <w:tblPr>
      <w:tblCellMar>
        <w:top w:w="0" w:type="dxa"/>
        <w:left w:w="0" w:type="dxa"/>
        <w:bottom w:w="0" w:type="dxa"/>
        <w:right w:w="0" w:type="dxa"/>
      </w:tblCellMar>
    </w:tblPr>
  </w:style>
  <w:style w:type="paragraph" w:customStyle="1" w:styleId="TableText">
    <w:name w:val="Table Text"/>
    <w:basedOn w:val="Normal"/>
    <w:autoRedefine/>
    <w:semiHidden/>
    <w:qFormat/>
    <w:rsid w:val="00671EFD"/>
    <w:pPr>
      <w:spacing w:line="480" w:lineRule="auto"/>
    </w:pPr>
    <w:rPr>
      <w:rFonts w:ascii="Times New Roman" w:eastAsia="Times New Roman" w:hAnsi="Times New Roman" w:cs="Times New Roman"/>
      <w:snapToGrid w:val="0"/>
      <w:color w:val="000000"/>
      <w:szCs w:val="21"/>
      <w:lang w:val="en-US"/>
    </w:rPr>
  </w:style>
  <w:style w:type="character" w:customStyle="1" w:styleId="tgt">
    <w:name w:val="tgt"/>
    <w:basedOn w:val="DefaultParagraphFont"/>
    <w:autoRedefine/>
    <w:qFormat/>
    <w:rsid w:val="00671EFD"/>
  </w:style>
  <w:style w:type="paragraph" w:customStyle="1" w:styleId="TableCaption">
    <w:name w:val="Table Caption"/>
    <w:basedOn w:val="Normal"/>
    <w:autoRedefine/>
    <w:qFormat/>
    <w:rsid w:val="00671EFD"/>
    <w:pPr>
      <w:spacing w:line="480" w:lineRule="auto"/>
      <w:jc w:val="center"/>
    </w:pPr>
    <w:rPr>
      <w:rFonts w:ascii="Times New Roman" w:eastAsia="Arial" w:hAnsi="Times New Roman" w:cs="Arial"/>
      <w:b/>
      <w:i/>
      <w:snapToGrid w:val="0"/>
      <w:color w:val="000000"/>
      <w:lang w:val="en-US"/>
    </w:rPr>
  </w:style>
  <w:style w:type="paragraph" w:customStyle="1" w:styleId="Revision1">
    <w:name w:val="Revision1"/>
    <w:autoRedefine/>
    <w:hidden/>
    <w:uiPriority w:val="99"/>
    <w:semiHidden/>
    <w:qFormat/>
    <w:rsid w:val="00671EFD"/>
    <w:rPr>
      <w:rFonts w:ascii="Arial" w:eastAsia="Arial" w:hAnsi="Arial" w:cs="Arial"/>
      <w:snapToGrid w:val="0"/>
      <w:color w:val="000000"/>
      <w:sz w:val="21"/>
      <w:szCs w:val="21"/>
      <w:lang w:val="en-US"/>
    </w:rPr>
  </w:style>
  <w:style w:type="character" w:customStyle="1" w:styleId="Heading4Char">
    <w:name w:val="Heading 4 Char"/>
    <w:basedOn w:val="DefaultParagraphFont"/>
    <w:link w:val="Heading4"/>
    <w:uiPriority w:val="9"/>
    <w:semiHidden/>
    <w:rsid w:val="00A36B72"/>
    <w:rPr>
      <w:rFonts w:ascii="Calibri" w:eastAsia="Calibri" w:hAnsi="Calibri" w:cs="Calibri"/>
      <w:i/>
      <w:color w:val="2F5496"/>
      <w:lang w:val="en"/>
    </w:rPr>
  </w:style>
  <w:style w:type="character" w:customStyle="1" w:styleId="Heading5Char">
    <w:name w:val="Heading 5 Char"/>
    <w:basedOn w:val="DefaultParagraphFont"/>
    <w:link w:val="Heading5"/>
    <w:uiPriority w:val="9"/>
    <w:semiHidden/>
    <w:rsid w:val="00A36B72"/>
    <w:rPr>
      <w:rFonts w:ascii="Calibri" w:eastAsia="Calibri" w:hAnsi="Calibri" w:cs="Calibri"/>
      <w:color w:val="2F5496"/>
      <w:lang w:val="en"/>
    </w:rPr>
  </w:style>
  <w:style w:type="character" w:customStyle="1" w:styleId="Heading6Char">
    <w:name w:val="Heading 6 Char"/>
    <w:basedOn w:val="DefaultParagraphFont"/>
    <w:link w:val="Heading6"/>
    <w:uiPriority w:val="9"/>
    <w:semiHidden/>
    <w:rsid w:val="00A36B72"/>
    <w:rPr>
      <w:rFonts w:ascii="Calibri" w:eastAsia="Calibri" w:hAnsi="Calibri" w:cs="Calibri"/>
      <w:i/>
      <w:color w:val="595959"/>
      <w:lang w:val="en"/>
    </w:rPr>
  </w:style>
  <w:style w:type="character" w:customStyle="1" w:styleId="Heading7Char">
    <w:name w:val="Heading 7 Char"/>
    <w:basedOn w:val="DefaultParagraphFont"/>
    <w:link w:val="Heading7"/>
    <w:uiPriority w:val="9"/>
    <w:semiHidden/>
    <w:rsid w:val="00A36B72"/>
    <w:rPr>
      <w:rFonts w:ascii="Calibri" w:eastAsiaTheme="majorEastAsia" w:hAnsi="Calibri" w:cstheme="majorBidi"/>
      <w:color w:val="595959" w:themeColor="text1" w:themeTint="A6"/>
      <w:lang w:val="en"/>
    </w:rPr>
  </w:style>
  <w:style w:type="character" w:customStyle="1" w:styleId="Heading8Char">
    <w:name w:val="Heading 8 Char"/>
    <w:basedOn w:val="DefaultParagraphFont"/>
    <w:link w:val="Heading8"/>
    <w:uiPriority w:val="9"/>
    <w:semiHidden/>
    <w:rsid w:val="00A36B72"/>
    <w:rPr>
      <w:rFonts w:ascii="Calibri" w:eastAsiaTheme="majorEastAsia" w:hAnsi="Calibri" w:cstheme="majorBidi"/>
      <w:i/>
      <w:iCs/>
      <w:color w:val="272727" w:themeColor="text1" w:themeTint="D8"/>
      <w:lang w:val="en"/>
    </w:rPr>
  </w:style>
  <w:style w:type="character" w:customStyle="1" w:styleId="Heading9Char">
    <w:name w:val="Heading 9 Char"/>
    <w:basedOn w:val="DefaultParagraphFont"/>
    <w:link w:val="Heading9"/>
    <w:uiPriority w:val="9"/>
    <w:semiHidden/>
    <w:rsid w:val="00A36B72"/>
    <w:rPr>
      <w:rFonts w:ascii="Calibri" w:eastAsiaTheme="majorEastAsia" w:hAnsi="Calibri" w:cstheme="majorBidi"/>
      <w:color w:val="272727" w:themeColor="text1" w:themeTint="D8"/>
      <w:lang w:val="en"/>
    </w:rPr>
  </w:style>
  <w:style w:type="table" w:customStyle="1" w:styleId="TableNormal1">
    <w:name w:val="TableNormal"/>
    <w:rsid w:val="00A36B72"/>
    <w:pPr>
      <w:spacing w:after="160" w:line="278" w:lineRule="auto"/>
    </w:pPr>
    <w:rPr>
      <w:rFonts w:ascii="Calibri" w:eastAsia="Calibri" w:hAnsi="Calibri" w:cs="Calibri"/>
      <w:lang w:val="en"/>
    </w:rPr>
    <w:tblPr>
      <w:tblCellMar>
        <w:top w:w="0" w:type="dxa"/>
        <w:left w:w="0" w:type="dxa"/>
        <w:bottom w:w="0" w:type="dxa"/>
        <w:right w:w="0" w:type="dxa"/>
      </w:tblCellMar>
    </w:tblPr>
  </w:style>
  <w:style w:type="paragraph" w:styleId="Title">
    <w:name w:val="Title"/>
    <w:basedOn w:val="Normal"/>
    <w:next w:val="Normal"/>
    <w:link w:val="TitleChar"/>
    <w:uiPriority w:val="10"/>
    <w:qFormat/>
    <w:rsid w:val="00A36B72"/>
    <w:pPr>
      <w:spacing w:after="80"/>
    </w:pPr>
    <w:rPr>
      <w:rFonts w:ascii="Calibri" w:eastAsia="Calibri" w:hAnsi="Calibri" w:cs="Calibri"/>
      <w:sz w:val="56"/>
      <w:szCs w:val="56"/>
      <w:lang w:val="en"/>
    </w:rPr>
  </w:style>
  <w:style w:type="character" w:customStyle="1" w:styleId="TitleChar">
    <w:name w:val="Title Char"/>
    <w:basedOn w:val="DefaultParagraphFont"/>
    <w:link w:val="Title"/>
    <w:uiPriority w:val="10"/>
    <w:rsid w:val="00A36B72"/>
    <w:rPr>
      <w:rFonts w:ascii="Calibri" w:eastAsia="Calibri" w:hAnsi="Calibri" w:cs="Calibri"/>
      <w:sz w:val="56"/>
      <w:szCs w:val="56"/>
      <w:lang w:val="en"/>
    </w:rPr>
  </w:style>
  <w:style w:type="character" w:customStyle="1" w:styleId="SubtitleChar">
    <w:name w:val="Subtitle Char"/>
    <w:basedOn w:val="DefaultParagraphFont"/>
    <w:link w:val="Subtitle"/>
    <w:uiPriority w:val="11"/>
    <w:rsid w:val="00A36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B72"/>
    <w:pPr>
      <w:spacing w:before="160" w:after="160" w:line="278" w:lineRule="auto"/>
      <w:jc w:val="center"/>
    </w:pPr>
    <w:rPr>
      <w:rFonts w:ascii="Calibri" w:eastAsia="Calibri" w:hAnsi="Calibri" w:cs="Calibri"/>
      <w:i/>
      <w:iCs/>
      <w:color w:val="404040" w:themeColor="text1" w:themeTint="BF"/>
      <w:lang w:val="en"/>
    </w:rPr>
  </w:style>
  <w:style w:type="character" w:customStyle="1" w:styleId="QuoteChar">
    <w:name w:val="Quote Char"/>
    <w:basedOn w:val="DefaultParagraphFont"/>
    <w:link w:val="Quote"/>
    <w:uiPriority w:val="29"/>
    <w:rsid w:val="00A36B72"/>
    <w:rPr>
      <w:rFonts w:ascii="Calibri" w:eastAsia="Calibri" w:hAnsi="Calibri" w:cs="Calibri"/>
      <w:i/>
      <w:iCs/>
      <w:color w:val="404040" w:themeColor="text1" w:themeTint="BF"/>
      <w:lang w:val="en"/>
    </w:rPr>
  </w:style>
  <w:style w:type="character" w:styleId="IntenseEmphasis">
    <w:name w:val="Intense Emphasis"/>
    <w:basedOn w:val="DefaultParagraphFont"/>
    <w:uiPriority w:val="21"/>
    <w:qFormat/>
    <w:rsid w:val="00A36B72"/>
    <w:rPr>
      <w:i/>
      <w:iCs/>
      <w:color w:val="2F5496" w:themeColor="accent1" w:themeShade="BF"/>
    </w:rPr>
  </w:style>
  <w:style w:type="paragraph" w:styleId="IntenseQuote">
    <w:name w:val="Intense Quote"/>
    <w:basedOn w:val="Normal"/>
    <w:next w:val="Normal"/>
    <w:link w:val="IntenseQuoteChar"/>
    <w:uiPriority w:val="30"/>
    <w:qFormat/>
    <w:rsid w:val="00A36B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Calibri" w:eastAsia="Calibri" w:hAnsi="Calibri" w:cs="Calibri"/>
      <w:i/>
      <w:iCs/>
      <w:color w:val="2F5496" w:themeColor="accent1" w:themeShade="BF"/>
      <w:lang w:val="en"/>
    </w:rPr>
  </w:style>
  <w:style w:type="character" w:customStyle="1" w:styleId="IntenseQuoteChar">
    <w:name w:val="Intense Quote Char"/>
    <w:basedOn w:val="DefaultParagraphFont"/>
    <w:link w:val="IntenseQuote"/>
    <w:uiPriority w:val="30"/>
    <w:rsid w:val="00A36B72"/>
    <w:rPr>
      <w:rFonts w:ascii="Calibri" w:eastAsia="Calibri" w:hAnsi="Calibri" w:cs="Calibri"/>
      <w:i/>
      <w:iCs/>
      <w:color w:val="2F5496" w:themeColor="accent1" w:themeShade="BF"/>
      <w:lang w:val="en"/>
    </w:rPr>
  </w:style>
  <w:style w:type="character" w:styleId="IntenseReference">
    <w:name w:val="Intense Reference"/>
    <w:basedOn w:val="DefaultParagraphFont"/>
    <w:uiPriority w:val="32"/>
    <w:qFormat/>
    <w:rsid w:val="00A36B72"/>
    <w:rPr>
      <w:b/>
      <w:bCs/>
      <w:smallCaps/>
      <w:color w:val="2F5496" w:themeColor="accent1" w:themeShade="BF"/>
      <w:spacing w:val="5"/>
    </w:rPr>
  </w:style>
  <w:style w:type="paragraph" w:styleId="Subtitle">
    <w:name w:val="Subtitle"/>
    <w:basedOn w:val="Normal"/>
    <w:next w:val="Normal"/>
    <w:link w:val="SubtitleChar"/>
    <w:uiPriority w:val="11"/>
    <w:qFormat/>
    <w:rsid w:val="00A36B72"/>
    <w:pPr>
      <w:spacing w:after="160" w:line="278" w:lineRule="auto"/>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uiPriority w:val="11"/>
    <w:rsid w:val="00A36B72"/>
    <w:rPr>
      <w:rFonts w:eastAsiaTheme="minorEastAsia"/>
      <w:color w:val="5A5A5A" w:themeColor="text1" w:themeTint="A5"/>
      <w:spacing w:val="15"/>
      <w:sz w:val="22"/>
      <w:szCs w:val="22"/>
    </w:rPr>
  </w:style>
  <w:style w:type="paragraph" w:customStyle="1" w:styleId="pf0">
    <w:name w:val="pf0"/>
    <w:basedOn w:val="Normal"/>
    <w:rsid w:val="00A36B72"/>
    <w:pPr>
      <w:spacing w:before="100" w:beforeAutospacing="1" w:after="100" w:afterAutospacing="1"/>
    </w:pPr>
    <w:rPr>
      <w:rFonts w:ascii="Times New Roman" w:eastAsia="Times New Roman" w:hAnsi="Times New Roman" w:cs="Times New Roman"/>
      <w:lang w:val="en-US"/>
    </w:rPr>
  </w:style>
  <w:style w:type="character" w:customStyle="1" w:styleId="cf01">
    <w:name w:val="cf01"/>
    <w:basedOn w:val="DefaultParagraphFont"/>
    <w:rsid w:val="00A36B72"/>
    <w:rPr>
      <w:rFonts w:ascii="Segoe UI" w:hAnsi="Segoe UI" w:cs="Segoe UI" w:hint="default"/>
      <w:sz w:val="18"/>
      <w:szCs w:val="18"/>
    </w:rPr>
  </w:style>
  <w:style w:type="table" w:styleId="PlainTable2">
    <w:name w:val="Plain Table 2"/>
    <w:basedOn w:val="TableNormal"/>
    <w:uiPriority w:val="42"/>
    <w:rsid w:val="008100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5004">
      <w:bodyDiv w:val="1"/>
      <w:marLeft w:val="0"/>
      <w:marRight w:val="0"/>
      <w:marTop w:val="0"/>
      <w:marBottom w:val="0"/>
      <w:divBdr>
        <w:top w:val="none" w:sz="0" w:space="0" w:color="auto"/>
        <w:left w:val="none" w:sz="0" w:space="0" w:color="auto"/>
        <w:bottom w:val="none" w:sz="0" w:space="0" w:color="auto"/>
        <w:right w:val="none" w:sz="0" w:space="0" w:color="auto"/>
      </w:divBdr>
      <w:divsChild>
        <w:div w:id="729233128">
          <w:marLeft w:val="0"/>
          <w:marRight w:val="0"/>
          <w:marTop w:val="0"/>
          <w:marBottom w:val="0"/>
          <w:divBdr>
            <w:top w:val="none" w:sz="0" w:space="0" w:color="auto"/>
            <w:left w:val="none" w:sz="0" w:space="0" w:color="auto"/>
            <w:bottom w:val="none" w:sz="0" w:space="0" w:color="auto"/>
            <w:right w:val="none" w:sz="0" w:space="0" w:color="auto"/>
          </w:divBdr>
        </w:div>
      </w:divsChild>
    </w:div>
    <w:div w:id="244456473">
      <w:bodyDiv w:val="1"/>
      <w:marLeft w:val="0"/>
      <w:marRight w:val="0"/>
      <w:marTop w:val="0"/>
      <w:marBottom w:val="0"/>
      <w:divBdr>
        <w:top w:val="none" w:sz="0" w:space="0" w:color="auto"/>
        <w:left w:val="none" w:sz="0" w:space="0" w:color="auto"/>
        <w:bottom w:val="none" w:sz="0" w:space="0" w:color="auto"/>
        <w:right w:val="none" w:sz="0" w:space="0" w:color="auto"/>
      </w:divBdr>
    </w:div>
    <w:div w:id="318273234">
      <w:bodyDiv w:val="1"/>
      <w:marLeft w:val="0"/>
      <w:marRight w:val="0"/>
      <w:marTop w:val="0"/>
      <w:marBottom w:val="0"/>
      <w:divBdr>
        <w:top w:val="none" w:sz="0" w:space="0" w:color="auto"/>
        <w:left w:val="none" w:sz="0" w:space="0" w:color="auto"/>
        <w:bottom w:val="none" w:sz="0" w:space="0" w:color="auto"/>
        <w:right w:val="none" w:sz="0" w:space="0" w:color="auto"/>
      </w:divBdr>
    </w:div>
    <w:div w:id="388960463">
      <w:bodyDiv w:val="1"/>
      <w:marLeft w:val="0"/>
      <w:marRight w:val="0"/>
      <w:marTop w:val="0"/>
      <w:marBottom w:val="0"/>
      <w:divBdr>
        <w:top w:val="none" w:sz="0" w:space="0" w:color="auto"/>
        <w:left w:val="none" w:sz="0" w:space="0" w:color="auto"/>
        <w:bottom w:val="none" w:sz="0" w:space="0" w:color="auto"/>
        <w:right w:val="none" w:sz="0" w:space="0" w:color="auto"/>
      </w:divBdr>
      <w:divsChild>
        <w:div w:id="1611547400">
          <w:marLeft w:val="0"/>
          <w:marRight w:val="0"/>
          <w:marTop w:val="0"/>
          <w:marBottom w:val="0"/>
          <w:divBdr>
            <w:top w:val="none" w:sz="0" w:space="0" w:color="auto"/>
            <w:left w:val="none" w:sz="0" w:space="0" w:color="auto"/>
            <w:bottom w:val="none" w:sz="0" w:space="0" w:color="auto"/>
            <w:right w:val="none" w:sz="0" w:space="0" w:color="auto"/>
          </w:divBdr>
          <w:divsChild>
            <w:div w:id="409080719">
              <w:marLeft w:val="0"/>
              <w:marRight w:val="0"/>
              <w:marTop w:val="0"/>
              <w:marBottom w:val="0"/>
              <w:divBdr>
                <w:top w:val="none" w:sz="0" w:space="0" w:color="auto"/>
                <w:left w:val="none" w:sz="0" w:space="0" w:color="auto"/>
                <w:bottom w:val="none" w:sz="0" w:space="0" w:color="auto"/>
                <w:right w:val="none" w:sz="0" w:space="0" w:color="auto"/>
              </w:divBdr>
              <w:divsChild>
                <w:div w:id="14242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52034">
      <w:bodyDiv w:val="1"/>
      <w:marLeft w:val="0"/>
      <w:marRight w:val="0"/>
      <w:marTop w:val="0"/>
      <w:marBottom w:val="0"/>
      <w:divBdr>
        <w:top w:val="none" w:sz="0" w:space="0" w:color="auto"/>
        <w:left w:val="none" w:sz="0" w:space="0" w:color="auto"/>
        <w:bottom w:val="none" w:sz="0" w:space="0" w:color="auto"/>
        <w:right w:val="none" w:sz="0" w:space="0" w:color="auto"/>
      </w:divBdr>
    </w:div>
    <w:div w:id="716248603">
      <w:bodyDiv w:val="1"/>
      <w:marLeft w:val="0"/>
      <w:marRight w:val="0"/>
      <w:marTop w:val="0"/>
      <w:marBottom w:val="0"/>
      <w:divBdr>
        <w:top w:val="none" w:sz="0" w:space="0" w:color="auto"/>
        <w:left w:val="none" w:sz="0" w:space="0" w:color="auto"/>
        <w:bottom w:val="none" w:sz="0" w:space="0" w:color="auto"/>
        <w:right w:val="none" w:sz="0" w:space="0" w:color="auto"/>
      </w:divBdr>
    </w:div>
    <w:div w:id="1023479200">
      <w:bodyDiv w:val="1"/>
      <w:marLeft w:val="0"/>
      <w:marRight w:val="0"/>
      <w:marTop w:val="0"/>
      <w:marBottom w:val="0"/>
      <w:divBdr>
        <w:top w:val="none" w:sz="0" w:space="0" w:color="auto"/>
        <w:left w:val="none" w:sz="0" w:space="0" w:color="auto"/>
        <w:bottom w:val="none" w:sz="0" w:space="0" w:color="auto"/>
        <w:right w:val="none" w:sz="0" w:space="0" w:color="auto"/>
      </w:divBdr>
    </w:div>
    <w:div w:id="1198008873">
      <w:bodyDiv w:val="1"/>
      <w:marLeft w:val="0"/>
      <w:marRight w:val="0"/>
      <w:marTop w:val="0"/>
      <w:marBottom w:val="0"/>
      <w:divBdr>
        <w:top w:val="none" w:sz="0" w:space="0" w:color="auto"/>
        <w:left w:val="none" w:sz="0" w:space="0" w:color="auto"/>
        <w:bottom w:val="none" w:sz="0" w:space="0" w:color="auto"/>
        <w:right w:val="none" w:sz="0" w:space="0" w:color="auto"/>
      </w:divBdr>
    </w:div>
    <w:div w:id="1502819563">
      <w:bodyDiv w:val="1"/>
      <w:marLeft w:val="0"/>
      <w:marRight w:val="0"/>
      <w:marTop w:val="0"/>
      <w:marBottom w:val="0"/>
      <w:divBdr>
        <w:top w:val="none" w:sz="0" w:space="0" w:color="auto"/>
        <w:left w:val="none" w:sz="0" w:space="0" w:color="auto"/>
        <w:bottom w:val="none" w:sz="0" w:space="0" w:color="auto"/>
        <w:right w:val="none" w:sz="0" w:space="0" w:color="auto"/>
      </w:divBdr>
    </w:div>
    <w:div w:id="1855149855">
      <w:bodyDiv w:val="1"/>
      <w:marLeft w:val="0"/>
      <w:marRight w:val="0"/>
      <w:marTop w:val="0"/>
      <w:marBottom w:val="0"/>
      <w:divBdr>
        <w:top w:val="none" w:sz="0" w:space="0" w:color="auto"/>
        <w:left w:val="none" w:sz="0" w:space="0" w:color="auto"/>
        <w:bottom w:val="none" w:sz="0" w:space="0" w:color="auto"/>
        <w:right w:val="none" w:sz="0" w:space="0" w:color="auto"/>
      </w:divBdr>
      <w:divsChild>
        <w:div w:id="1333415307">
          <w:marLeft w:val="0"/>
          <w:marRight w:val="0"/>
          <w:marTop w:val="0"/>
          <w:marBottom w:val="0"/>
          <w:divBdr>
            <w:top w:val="none" w:sz="0" w:space="0" w:color="auto"/>
            <w:left w:val="none" w:sz="0" w:space="0" w:color="auto"/>
            <w:bottom w:val="none" w:sz="0" w:space="0" w:color="auto"/>
            <w:right w:val="none" w:sz="0" w:space="0" w:color="auto"/>
          </w:divBdr>
          <w:divsChild>
            <w:div w:id="1618443034">
              <w:marLeft w:val="0"/>
              <w:marRight w:val="0"/>
              <w:marTop w:val="0"/>
              <w:marBottom w:val="0"/>
              <w:divBdr>
                <w:top w:val="none" w:sz="0" w:space="0" w:color="auto"/>
                <w:left w:val="none" w:sz="0" w:space="0" w:color="auto"/>
                <w:bottom w:val="none" w:sz="0" w:space="0" w:color="auto"/>
                <w:right w:val="none" w:sz="0" w:space="0" w:color="auto"/>
              </w:divBdr>
              <w:divsChild>
                <w:div w:id="18572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11235">
      <w:bodyDiv w:val="1"/>
      <w:marLeft w:val="0"/>
      <w:marRight w:val="0"/>
      <w:marTop w:val="0"/>
      <w:marBottom w:val="0"/>
      <w:divBdr>
        <w:top w:val="none" w:sz="0" w:space="0" w:color="auto"/>
        <w:left w:val="none" w:sz="0" w:space="0" w:color="auto"/>
        <w:bottom w:val="none" w:sz="0" w:space="0" w:color="auto"/>
        <w:right w:val="none" w:sz="0" w:space="0" w:color="auto"/>
      </w:divBdr>
      <w:divsChild>
        <w:div w:id="2110153601">
          <w:marLeft w:val="0"/>
          <w:marRight w:val="0"/>
          <w:marTop w:val="0"/>
          <w:marBottom w:val="0"/>
          <w:divBdr>
            <w:top w:val="none" w:sz="0" w:space="0" w:color="auto"/>
            <w:left w:val="none" w:sz="0" w:space="0" w:color="auto"/>
            <w:bottom w:val="none" w:sz="0" w:space="0" w:color="auto"/>
            <w:right w:val="none" w:sz="0" w:space="0" w:color="auto"/>
          </w:divBdr>
          <w:divsChild>
            <w:div w:id="1296716989">
              <w:marLeft w:val="0"/>
              <w:marRight w:val="0"/>
              <w:marTop w:val="0"/>
              <w:marBottom w:val="0"/>
              <w:divBdr>
                <w:top w:val="none" w:sz="0" w:space="0" w:color="auto"/>
                <w:left w:val="none" w:sz="0" w:space="0" w:color="auto"/>
                <w:bottom w:val="none" w:sz="0" w:space="0" w:color="auto"/>
                <w:right w:val="none" w:sz="0" w:space="0" w:color="auto"/>
              </w:divBdr>
              <w:divsChild>
                <w:div w:id="21107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katysexposure.com/wp-content/uploads/2021/03/kelman-deposition-july-22-2008-kelman-and-globaltox-v-kramer.pdf" TargetMode="External"/><Relationship Id="rId26" Type="http://schemas.openxmlformats.org/officeDocument/2006/relationships/hyperlink" Target="https://institute.cirsx.com/payment?product_id=mia101" TargetMode="External"/><Relationship Id="rId39" Type="http://schemas.openxmlformats.org/officeDocument/2006/relationships/hyperlink" Target="https://www.cdc.gov/niosh/topics/indoorenv/dampness-mold-assessment-tool.html" TargetMode="External"/><Relationship Id="rId21" Type="http://schemas.openxmlformats.org/officeDocument/2006/relationships/hyperlink" Target="https://www.wondermakers.com/Portals/0/docs/02.%20Amid%20Suits%20Over%20Mold%20Experts%20Wear%20Two%20Hats%2002.07.pdf" TargetMode="External"/><Relationship Id="rId34" Type="http://schemas.openxmlformats.org/officeDocument/2006/relationships/hyperlink" Target="https://doi.org/10.18103/mra.v9i10.2585" TargetMode="External"/><Relationship Id="rId42" Type="http://schemas.openxmlformats.org/officeDocument/2006/relationships/hyperlink" Target="https://nadca.com/industry/standards/AC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pa.gov/sites/default/files/2014-08/documents/sick_building_factsheet.pdf" TargetMode="External"/><Relationship Id="rId29" Type="http://schemas.openxmlformats.org/officeDocument/2006/relationships/hyperlink" Target="https://www.cdc.gov/mmwr/preview/mmwrhtml/rr5508a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stitute.cirsx.com/course/mir101" TargetMode="External"/><Relationship Id="rId32" Type="http://schemas.openxmlformats.org/officeDocument/2006/relationships/hyperlink" Target="https://www.fda.gov/media/83477/download" TargetMode="External"/><Relationship Id="rId37" Type="http://schemas.openxmlformats.org/officeDocument/2006/relationships/hyperlink" Target="https://www.epa.gov/mold/what-does-mold-smell-moldymusty-odors-and-mvocs" TargetMode="External"/><Relationship Id="rId40" Type="http://schemas.openxmlformats.org/officeDocument/2006/relationships/hyperlink" Target="https://www.uptodate.com/contents/assessment-of-mold-in-the-indoor-environmen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8103/mra.v13i8.6767" TargetMode="External"/><Relationship Id="rId23" Type="http://schemas.openxmlformats.org/officeDocument/2006/relationships/hyperlink" Target="https://www.ansi.org/essentialrequirements" TargetMode="External"/><Relationship Id="rId28" Type="http://schemas.openxmlformats.org/officeDocument/2006/relationships/hyperlink" Target="https://www.epa.gov/mold/mold-course-chapter-1" TargetMode="External"/><Relationship Id="rId36" Type="http://schemas.openxmlformats.org/officeDocument/2006/relationships/hyperlink" Target="https://www.survivingmold.com/legal-resources/actino-central" TargetMode="External"/><Relationship Id="rId10" Type="http://schemas.openxmlformats.org/officeDocument/2006/relationships/footer" Target="footer1.xml"/><Relationship Id="rId19" Type="http://schemas.openxmlformats.org/officeDocument/2006/relationships/hyperlink" Target="https://katysexposure.com/wp-content/uploads/2021/03/10.22.10-final-petition-to-ca-supreme-ct-w-exhibilts.pdf" TargetMode="External"/><Relationship Id="rId31" Type="http://schemas.openxmlformats.org/officeDocument/2006/relationships/hyperlink" Target="https://journals.ke-i.org/index.php/mra/article/view/665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8103/mra.v13i8.6767" TargetMode="External"/><Relationship Id="rId22" Type="http://schemas.openxmlformats.org/officeDocument/2006/relationships/hyperlink" Target="https://www.ncbi.nlm.nih.gov/books/NBK215647/" TargetMode="External"/><Relationship Id="rId27" Type="http://schemas.openxmlformats.org/officeDocument/2006/relationships/hyperlink" Target="https://institute.cirsx.com/payment?product_id=mia102" TargetMode="External"/><Relationship Id="rId30" Type="http://schemas.openxmlformats.org/officeDocument/2006/relationships/hyperlink" Target="https://emsl.com/PDFDocuments/SamplingGuide/Microbiology%20Sampling%20Guide.pdf" TargetMode="External"/><Relationship Id="rId35" Type="http://schemas.openxmlformats.org/officeDocument/2006/relationships/hyperlink" Target="https://www.survivingmold.com/legal-resources/actino-central" TargetMode="External"/><Relationship Id="rId43" Type="http://schemas.openxmlformats.org/officeDocument/2006/relationships/hyperlink" Target="https://portal.ct.gov/DP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iris.who.int/handle/10665/260557" TargetMode="External"/><Relationship Id="rId25" Type="http://schemas.openxmlformats.org/officeDocument/2006/relationships/hyperlink" Target="https://www.survivingmold.com/docs/IEP_CONSENSUS_04_12_16.pdf" TargetMode="External"/><Relationship Id="rId33" Type="http://schemas.openxmlformats.org/officeDocument/2006/relationships/hyperlink" Target="https://doi.org/10.1289/ehp.001081023" TargetMode="External"/><Relationship Id="rId38" Type="http://schemas.openxmlformats.org/officeDocument/2006/relationships/hyperlink" Target="https://www.epa.gov/mold/mold-course-chapter-3" TargetMode="External"/><Relationship Id="rId20" Type="http://schemas.openxmlformats.org/officeDocument/2006/relationships/hyperlink" Target="https://www.mold-help.org/mold-health-rights-advocate-sued-by-globaltox-now-veritox" TargetMode="External"/><Relationship Id="rId41" Type="http://schemas.openxmlformats.org/officeDocument/2006/relationships/hyperlink" Target="https://www.nyc.gov/assets/doh/downloads/pdf/epi/epi-mold-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2909-2E2B-4D6E-86D7-5E3F7645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13746</Words>
  <Characters>90619</Characters>
  <Application>Microsoft Office Word</Application>
  <DocSecurity>4</DocSecurity>
  <Lines>755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Fazel</dc:creator>
  <cp:keywords/>
  <dc:description/>
  <cp:lastModifiedBy>ritchie shoemaker</cp:lastModifiedBy>
  <cp:revision>2</cp:revision>
  <cp:lastPrinted>2025-08-04T00:36:00Z</cp:lastPrinted>
  <dcterms:created xsi:type="dcterms:W3CDTF">2025-08-04T15:01:00Z</dcterms:created>
  <dcterms:modified xsi:type="dcterms:W3CDTF">2025-08-04T15:01:00Z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963fc6b16b8937330f1ba7e266129d2a7f5943f7fb443599a49c14b42627d778</vt:lpwstr>
  </property>
</Properties>
</file>