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0E44B" w14:textId="5DB78528" w:rsidR="008F352C" w:rsidRDefault="002F33CB" w:rsidP="00A43A95">
      <w:pPr>
        <w:pStyle w:val="BodyA"/>
        <w:jc w:val="center"/>
      </w:pPr>
      <w:bookmarkStart w:id="0" w:name="_GoBack"/>
      <w:bookmarkEnd w:id="0"/>
      <w:r>
        <w:rPr>
          <w:rFonts w:ascii="Times New Roman" w:hAnsi="Times New Roman"/>
          <w:b/>
          <w:bCs/>
          <w:sz w:val="36"/>
          <w:szCs w:val="36"/>
        </w:rPr>
        <w:t>Diagnostic Process for Chronic Inflammatory Response Syndrome (CIRS)</w:t>
      </w:r>
      <w:r w:rsidR="008F352C">
        <w:rPr>
          <w:rFonts w:ascii="Times New Roman" w:hAnsi="Times New Roman"/>
          <w:b/>
          <w:bCs/>
          <w:sz w:val="36"/>
          <w:szCs w:val="36"/>
        </w:rPr>
        <w:t>: A Consensus Statement</w:t>
      </w:r>
    </w:p>
    <w:p w14:paraId="4582DE7F" w14:textId="2520D992" w:rsidR="008F352C" w:rsidRDefault="008F352C" w:rsidP="00A43A95">
      <w:pPr>
        <w:pStyle w:val="BodyA"/>
        <w:spacing w:after="0"/>
        <w:jc w:val="center"/>
        <w:rPr>
          <w:rFonts w:ascii="Times New Roman" w:hAnsi="Times New Roman"/>
          <w:b/>
          <w:bCs/>
          <w:sz w:val="28"/>
          <w:szCs w:val="28"/>
        </w:rPr>
      </w:pPr>
      <w:r>
        <w:rPr>
          <w:rFonts w:ascii="Times New Roman" w:hAnsi="Times New Roman"/>
          <w:b/>
          <w:bCs/>
          <w:sz w:val="36"/>
          <w:szCs w:val="36"/>
        </w:rPr>
        <w:t>Report of the Consensus Committee of Surviving Mold</w:t>
      </w:r>
    </w:p>
    <w:p w14:paraId="0FB2B003" w14:textId="77777777" w:rsidR="002F33CB" w:rsidRDefault="002F33CB" w:rsidP="00466750">
      <w:pPr>
        <w:pStyle w:val="BodyA"/>
        <w:spacing w:after="0"/>
        <w:jc w:val="both"/>
        <w:rPr>
          <w:rFonts w:ascii="Times New Roman" w:hAnsi="Times New Roman"/>
          <w:b/>
          <w:bCs/>
          <w:sz w:val="28"/>
          <w:szCs w:val="28"/>
        </w:rPr>
      </w:pPr>
    </w:p>
    <w:p w14:paraId="029F370F" w14:textId="77777777" w:rsidR="00466750" w:rsidRDefault="00466750" w:rsidP="00466750">
      <w:pPr>
        <w:pStyle w:val="BodyA"/>
        <w:spacing w:after="0"/>
        <w:jc w:val="both"/>
        <w:rPr>
          <w:rFonts w:ascii="Times New Roman" w:hAnsi="Times New Roman"/>
          <w:b/>
          <w:bCs/>
          <w:sz w:val="24"/>
          <w:szCs w:val="28"/>
        </w:rPr>
        <w:sectPr w:rsidR="00466750" w:rsidSect="00DF3DFE">
          <w:headerReference w:type="default" r:id="rId7"/>
          <w:headerReference w:type="first" r:id="rId8"/>
          <w:footerReference w:type="first" r:id="rId9"/>
          <w:pgSz w:w="12240" w:h="15840"/>
          <w:pgMar w:top="1440" w:right="1440" w:bottom="1440" w:left="1440" w:header="720" w:footer="576" w:gutter="0"/>
          <w:cols w:space="720"/>
          <w:titlePg/>
          <w:docGrid w:linePitch="326"/>
        </w:sectPr>
      </w:pPr>
    </w:p>
    <w:p w14:paraId="178B4FE5" w14:textId="27FF279B" w:rsidR="00466750" w:rsidRPr="00466750" w:rsidRDefault="00466750" w:rsidP="00466750">
      <w:pPr>
        <w:pStyle w:val="BodyA"/>
        <w:spacing w:after="0"/>
        <w:jc w:val="both"/>
        <w:rPr>
          <w:rFonts w:ascii="Times New Roman" w:hAnsi="Times New Roman"/>
          <w:b/>
          <w:bCs/>
          <w:sz w:val="24"/>
          <w:szCs w:val="28"/>
        </w:rPr>
      </w:pPr>
      <w:r>
        <w:rPr>
          <w:rFonts w:ascii="Times New Roman" w:hAnsi="Times New Roman"/>
          <w:b/>
          <w:bCs/>
          <w:sz w:val="24"/>
          <w:szCs w:val="28"/>
        </w:rPr>
        <w:t xml:space="preserve">Authors </w:t>
      </w:r>
    </w:p>
    <w:p w14:paraId="164A4585" w14:textId="77777777" w:rsidR="00466750" w:rsidRDefault="00466750" w:rsidP="00466750">
      <w:pPr>
        <w:pStyle w:val="BodyA"/>
        <w:spacing w:after="0"/>
        <w:jc w:val="both"/>
        <w:rPr>
          <w:rFonts w:ascii="Times New Roman" w:hAnsi="Times New Roman"/>
          <w:bCs/>
          <w:sz w:val="24"/>
          <w:szCs w:val="28"/>
        </w:rPr>
      </w:pPr>
      <w:r>
        <w:rPr>
          <w:rFonts w:ascii="Times New Roman" w:hAnsi="Times New Roman"/>
          <w:bCs/>
          <w:sz w:val="24"/>
          <w:szCs w:val="28"/>
        </w:rPr>
        <w:t>Ritchie Shoemaker MD</w:t>
      </w:r>
    </w:p>
    <w:p w14:paraId="74469AA3" w14:textId="77777777" w:rsidR="00466750" w:rsidRDefault="00466750" w:rsidP="00466750">
      <w:pPr>
        <w:pStyle w:val="BodyA"/>
        <w:spacing w:after="0"/>
        <w:jc w:val="both"/>
        <w:rPr>
          <w:rFonts w:ascii="Times New Roman" w:hAnsi="Times New Roman"/>
          <w:bCs/>
          <w:sz w:val="24"/>
          <w:szCs w:val="28"/>
        </w:rPr>
      </w:pPr>
      <w:r>
        <w:rPr>
          <w:rFonts w:ascii="Times New Roman" w:hAnsi="Times New Roman"/>
          <w:bCs/>
          <w:sz w:val="24"/>
          <w:szCs w:val="28"/>
        </w:rPr>
        <w:t>Karen Johnson MD</w:t>
      </w:r>
    </w:p>
    <w:p w14:paraId="2A7F9FB9" w14:textId="77777777" w:rsidR="00466750" w:rsidRDefault="00466750" w:rsidP="00466750">
      <w:pPr>
        <w:pStyle w:val="BodyA"/>
        <w:spacing w:after="0"/>
        <w:jc w:val="both"/>
        <w:rPr>
          <w:rFonts w:ascii="Times New Roman" w:hAnsi="Times New Roman"/>
          <w:bCs/>
          <w:sz w:val="24"/>
          <w:szCs w:val="28"/>
        </w:rPr>
      </w:pPr>
      <w:r>
        <w:rPr>
          <w:rFonts w:ascii="Times New Roman" w:hAnsi="Times New Roman"/>
          <w:bCs/>
          <w:sz w:val="24"/>
          <w:szCs w:val="28"/>
        </w:rPr>
        <w:t>Lysander Jim MD</w:t>
      </w:r>
    </w:p>
    <w:p w14:paraId="74AB1E7B" w14:textId="77777777" w:rsidR="00466750" w:rsidRDefault="00466750" w:rsidP="00466750">
      <w:pPr>
        <w:pStyle w:val="BodyA"/>
        <w:spacing w:after="0"/>
        <w:jc w:val="both"/>
        <w:rPr>
          <w:rFonts w:ascii="Times New Roman" w:hAnsi="Times New Roman"/>
          <w:bCs/>
          <w:sz w:val="24"/>
          <w:szCs w:val="28"/>
        </w:rPr>
      </w:pPr>
      <w:r>
        <w:rPr>
          <w:rFonts w:ascii="Times New Roman" w:hAnsi="Times New Roman"/>
          <w:bCs/>
          <w:sz w:val="24"/>
          <w:szCs w:val="28"/>
        </w:rPr>
        <w:t>Yvonne Berry MD</w:t>
      </w:r>
    </w:p>
    <w:p w14:paraId="697215E7" w14:textId="77777777" w:rsidR="00466750" w:rsidRDefault="002F33CB" w:rsidP="00466750">
      <w:pPr>
        <w:pStyle w:val="BodyA"/>
        <w:spacing w:after="0"/>
        <w:jc w:val="both"/>
        <w:rPr>
          <w:rFonts w:ascii="Times New Roman" w:hAnsi="Times New Roman"/>
          <w:bCs/>
          <w:sz w:val="24"/>
          <w:szCs w:val="28"/>
        </w:rPr>
      </w:pPr>
      <w:r w:rsidRPr="00466750">
        <w:rPr>
          <w:rFonts w:ascii="Times New Roman" w:hAnsi="Times New Roman"/>
          <w:bCs/>
          <w:sz w:val="24"/>
          <w:szCs w:val="28"/>
        </w:rPr>
        <w:t xml:space="preserve">Ming </w:t>
      </w:r>
      <w:r w:rsidR="00466750">
        <w:rPr>
          <w:rFonts w:ascii="Times New Roman" w:hAnsi="Times New Roman"/>
          <w:bCs/>
          <w:sz w:val="24"/>
          <w:szCs w:val="28"/>
        </w:rPr>
        <w:t>Dooley</w:t>
      </w:r>
    </w:p>
    <w:p w14:paraId="4ED2E961" w14:textId="77777777" w:rsidR="0036523A" w:rsidRDefault="0036523A" w:rsidP="00466750">
      <w:pPr>
        <w:pStyle w:val="BodyA"/>
        <w:spacing w:after="0"/>
        <w:jc w:val="both"/>
        <w:rPr>
          <w:rFonts w:ascii="Times New Roman" w:hAnsi="Times New Roman"/>
          <w:bCs/>
          <w:sz w:val="24"/>
          <w:szCs w:val="28"/>
        </w:rPr>
      </w:pPr>
      <w:r>
        <w:rPr>
          <w:rFonts w:ascii="Times New Roman" w:hAnsi="Times New Roman"/>
          <w:bCs/>
          <w:sz w:val="24"/>
          <w:szCs w:val="28"/>
        </w:rPr>
        <w:t>James Ryan PhD</w:t>
      </w:r>
    </w:p>
    <w:p w14:paraId="55170A20" w14:textId="0C5002C3" w:rsidR="002F33CB" w:rsidRDefault="002F33CB" w:rsidP="00466750">
      <w:pPr>
        <w:pStyle w:val="BodyA"/>
        <w:spacing w:after="0"/>
        <w:jc w:val="both"/>
        <w:rPr>
          <w:rFonts w:ascii="Times New Roman" w:hAnsi="Times New Roman"/>
          <w:bCs/>
          <w:sz w:val="24"/>
          <w:szCs w:val="28"/>
        </w:rPr>
      </w:pPr>
      <w:r w:rsidRPr="00466750">
        <w:rPr>
          <w:rFonts w:ascii="Times New Roman" w:hAnsi="Times New Roman"/>
          <w:bCs/>
          <w:sz w:val="24"/>
          <w:szCs w:val="28"/>
        </w:rPr>
        <w:t>Scott McMahon MD</w:t>
      </w:r>
    </w:p>
    <w:p w14:paraId="418F1589" w14:textId="77777777" w:rsidR="00466750" w:rsidRPr="00466750" w:rsidRDefault="00466750" w:rsidP="00466750">
      <w:pPr>
        <w:pStyle w:val="BodyA"/>
        <w:spacing w:after="0"/>
        <w:jc w:val="both"/>
        <w:rPr>
          <w:rFonts w:ascii="Times New Roman" w:hAnsi="Times New Roman"/>
          <w:bCs/>
          <w:sz w:val="24"/>
          <w:szCs w:val="28"/>
        </w:rPr>
      </w:pPr>
    </w:p>
    <w:p w14:paraId="58539AB6" w14:textId="77777777" w:rsidR="002F33CB" w:rsidRDefault="002F33CB" w:rsidP="00466750">
      <w:pPr>
        <w:pStyle w:val="BodyA"/>
        <w:spacing w:after="0"/>
        <w:jc w:val="both"/>
        <w:rPr>
          <w:rFonts w:ascii="Times New Roman" w:hAnsi="Times New Roman"/>
          <w:b/>
          <w:bCs/>
          <w:sz w:val="28"/>
          <w:szCs w:val="28"/>
        </w:rPr>
      </w:pPr>
    </w:p>
    <w:p w14:paraId="3CBF6872" w14:textId="77777777" w:rsidR="00466750" w:rsidRDefault="00466750" w:rsidP="00466750">
      <w:pPr>
        <w:pStyle w:val="BodyA"/>
        <w:spacing w:after="0"/>
        <w:jc w:val="both"/>
        <w:rPr>
          <w:rFonts w:ascii="Times New Roman" w:hAnsi="Times New Roman"/>
          <w:b/>
          <w:bCs/>
          <w:sz w:val="28"/>
          <w:szCs w:val="28"/>
        </w:rPr>
      </w:pPr>
    </w:p>
    <w:p w14:paraId="1616C32B" w14:textId="77777777" w:rsidR="00466750" w:rsidRDefault="00466750" w:rsidP="00466750">
      <w:pPr>
        <w:pStyle w:val="BodyA"/>
        <w:spacing w:after="0"/>
        <w:jc w:val="both"/>
        <w:rPr>
          <w:rFonts w:ascii="Times New Roman" w:hAnsi="Times New Roman"/>
          <w:b/>
          <w:bCs/>
          <w:sz w:val="28"/>
          <w:szCs w:val="28"/>
        </w:rPr>
      </w:pPr>
    </w:p>
    <w:p w14:paraId="024A15BA" w14:textId="77777777" w:rsidR="00466750" w:rsidRDefault="00466750" w:rsidP="00466750">
      <w:pPr>
        <w:pStyle w:val="BodyA"/>
        <w:spacing w:after="0"/>
        <w:jc w:val="both"/>
        <w:rPr>
          <w:rFonts w:ascii="Times New Roman" w:hAnsi="Times New Roman"/>
          <w:b/>
          <w:bCs/>
          <w:sz w:val="28"/>
          <w:szCs w:val="28"/>
        </w:rPr>
      </w:pPr>
    </w:p>
    <w:p w14:paraId="6F303086" w14:textId="77777777" w:rsidR="00466750" w:rsidRDefault="00466750" w:rsidP="00466750">
      <w:pPr>
        <w:pStyle w:val="BodyA"/>
        <w:spacing w:after="0"/>
        <w:jc w:val="both"/>
        <w:rPr>
          <w:rFonts w:ascii="Times New Roman" w:hAnsi="Times New Roman"/>
          <w:b/>
          <w:bCs/>
          <w:sz w:val="28"/>
          <w:szCs w:val="28"/>
        </w:rPr>
      </w:pPr>
    </w:p>
    <w:p w14:paraId="26C2681D" w14:textId="77777777" w:rsidR="00466750" w:rsidRDefault="00466750" w:rsidP="00466750">
      <w:pPr>
        <w:pStyle w:val="BodyA"/>
        <w:spacing w:after="0"/>
        <w:jc w:val="both"/>
        <w:rPr>
          <w:rFonts w:ascii="Times New Roman" w:hAnsi="Times New Roman"/>
          <w:b/>
          <w:bCs/>
          <w:sz w:val="28"/>
          <w:szCs w:val="28"/>
        </w:rPr>
      </w:pPr>
    </w:p>
    <w:p w14:paraId="0B20EC71" w14:textId="77777777" w:rsidR="00466750" w:rsidRDefault="00466750" w:rsidP="00466750">
      <w:pPr>
        <w:pStyle w:val="BodyA"/>
        <w:spacing w:after="0"/>
        <w:jc w:val="both"/>
        <w:rPr>
          <w:rFonts w:ascii="Times New Roman" w:hAnsi="Times New Roman"/>
          <w:b/>
          <w:bCs/>
          <w:sz w:val="28"/>
          <w:szCs w:val="28"/>
        </w:rPr>
      </w:pPr>
    </w:p>
    <w:p w14:paraId="091B5E9B" w14:textId="77777777" w:rsidR="00466750" w:rsidRDefault="00466750" w:rsidP="00466750">
      <w:pPr>
        <w:pStyle w:val="BodyA"/>
        <w:spacing w:after="0"/>
        <w:jc w:val="both"/>
        <w:rPr>
          <w:rFonts w:ascii="Times New Roman" w:hAnsi="Times New Roman"/>
          <w:b/>
          <w:bCs/>
          <w:sz w:val="28"/>
          <w:szCs w:val="28"/>
        </w:rPr>
      </w:pPr>
    </w:p>
    <w:p w14:paraId="7A091295" w14:textId="77777777" w:rsidR="00466750" w:rsidRDefault="00466750" w:rsidP="00466750">
      <w:pPr>
        <w:pStyle w:val="BodyA"/>
        <w:spacing w:after="0"/>
        <w:jc w:val="both"/>
        <w:rPr>
          <w:rFonts w:ascii="Times New Roman" w:hAnsi="Times New Roman"/>
          <w:b/>
          <w:bCs/>
          <w:sz w:val="28"/>
          <w:szCs w:val="28"/>
        </w:rPr>
      </w:pPr>
    </w:p>
    <w:p w14:paraId="491AD9C3" w14:textId="77777777" w:rsidR="00466750" w:rsidRDefault="00466750" w:rsidP="00466750">
      <w:pPr>
        <w:pStyle w:val="BodyA"/>
        <w:spacing w:after="0"/>
        <w:jc w:val="both"/>
        <w:rPr>
          <w:rFonts w:ascii="Times New Roman" w:hAnsi="Times New Roman"/>
          <w:b/>
          <w:bCs/>
          <w:sz w:val="28"/>
          <w:szCs w:val="28"/>
        </w:rPr>
      </w:pPr>
    </w:p>
    <w:p w14:paraId="2620DC97" w14:textId="77777777" w:rsidR="00466750" w:rsidRDefault="00466750" w:rsidP="00466750">
      <w:pPr>
        <w:pStyle w:val="BodyA"/>
        <w:spacing w:after="0"/>
        <w:jc w:val="both"/>
        <w:rPr>
          <w:rFonts w:ascii="Times New Roman" w:hAnsi="Times New Roman"/>
          <w:b/>
          <w:bCs/>
          <w:sz w:val="28"/>
          <w:szCs w:val="28"/>
        </w:rPr>
      </w:pPr>
    </w:p>
    <w:p w14:paraId="55BB6306" w14:textId="77777777" w:rsidR="00466750" w:rsidRDefault="00466750" w:rsidP="00466750">
      <w:pPr>
        <w:pStyle w:val="BodyA"/>
        <w:spacing w:after="0"/>
        <w:jc w:val="both"/>
        <w:rPr>
          <w:rFonts w:ascii="Times New Roman" w:hAnsi="Times New Roman"/>
          <w:b/>
          <w:bCs/>
          <w:sz w:val="28"/>
          <w:szCs w:val="28"/>
        </w:rPr>
      </w:pPr>
    </w:p>
    <w:p w14:paraId="10D2B2AD" w14:textId="77777777" w:rsidR="00466750" w:rsidRDefault="00466750" w:rsidP="00466750">
      <w:pPr>
        <w:pStyle w:val="BodyA"/>
        <w:spacing w:after="0"/>
        <w:jc w:val="both"/>
        <w:rPr>
          <w:rFonts w:ascii="Times New Roman" w:hAnsi="Times New Roman"/>
          <w:b/>
          <w:bCs/>
          <w:sz w:val="28"/>
          <w:szCs w:val="28"/>
        </w:rPr>
      </w:pPr>
    </w:p>
    <w:p w14:paraId="7E1D53FC" w14:textId="77777777" w:rsidR="00466750" w:rsidRDefault="00466750" w:rsidP="00466750">
      <w:pPr>
        <w:pStyle w:val="BodyA"/>
        <w:spacing w:after="0"/>
        <w:jc w:val="both"/>
        <w:rPr>
          <w:rFonts w:ascii="Times New Roman" w:hAnsi="Times New Roman"/>
          <w:b/>
          <w:bCs/>
          <w:sz w:val="28"/>
          <w:szCs w:val="28"/>
        </w:rPr>
      </w:pPr>
    </w:p>
    <w:p w14:paraId="462BF324" w14:textId="77777777" w:rsidR="00466750" w:rsidRDefault="00466750" w:rsidP="00466750">
      <w:pPr>
        <w:pStyle w:val="BodyA"/>
        <w:spacing w:after="0"/>
        <w:jc w:val="both"/>
        <w:rPr>
          <w:rFonts w:ascii="Times New Roman" w:hAnsi="Times New Roman"/>
          <w:b/>
          <w:bCs/>
          <w:sz w:val="28"/>
          <w:szCs w:val="28"/>
        </w:rPr>
      </w:pPr>
    </w:p>
    <w:p w14:paraId="7F51759F" w14:textId="5215521A" w:rsidR="00951E89" w:rsidRPr="00951E89" w:rsidRDefault="00951E89" w:rsidP="00466750">
      <w:pPr>
        <w:pStyle w:val="BodyA"/>
        <w:spacing w:after="0"/>
        <w:jc w:val="both"/>
        <w:rPr>
          <w:rFonts w:ascii="Times New Roman" w:hAnsi="Times New Roman"/>
          <w:b/>
          <w:bCs/>
          <w:sz w:val="28"/>
          <w:szCs w:val="28"/>
        </w:rPr>
      </w:pPr>
      <w:r w:rsidRPr="00951E89">
        <w:rPr>
          <w:rFonts w:ascii="Times New Roman" w:hAnsi="Times New Roman"/>
          <w:b/>
          <w:bCs/>
          <w:sz w:val="28"/>
          <w:szCs w:val="28"/>
        </w:rPr>
        <w:t>Abstract:</w:t>
      </w:r>
    </w:p>
    <w:p w14:paraId="731A46A6" w14:textId="12993B58" w:rsidR="00951E89" w:rsidRDefault="00F95FE6" w:rsidP="00466750">
      <w:pPr>
        <w:pStyle w:val="BodyA"/>
        <w:spacing w:after="0"/>
        <w:jc w:val="both"/>
        <w:rPr>
          <w:rFonts w:ascii="Times New Roman" w:hAnsi="Times New Roman"/>
          <w:bCs/>
          <w:sz w:val="24"/>
          <w:szCs w:val="24"/>
        </w:rPr>
      </w:pPr>
      <w:r>
        <w:rPr>
          <w:rFonts w:ascii="Times New Roman" w:hAnsi="Times New Roman"/>
          <w:bCs/>
          <w:sz w:val="24"/>
          <w:szCs w:val="24"/>
        </w:rPr>
        <w:t>C</w:t>
      </w:r>
      <w:r w:rsidR="00951E89">
        <w:rPr>
          <w:rFonts w:ascii="Times New Roman" w:hAnsi="Times New Roman"/>
          <w:bCs/>
          <w:sz w:val="24"/>
          <w:szCs w:val="24"/>
        </w:rPr>
        <w:t>linical management of patients with a complex, multisystem, multi-symptom illness identified as a chronic inflammatory response syndrome (CIRS)</w:t>
      </w:r>
      <w:r>
        <w:rPr>
          <w:rFonts w:ascii="Times New Roman" w:hAnsi="Times New Roman"/>
          <w:bCs/>
          <w:sz w:val="24"/>
          <w:szCs w:val="24"/>
        </w:rPr>
        <w:t xml:space="preserve"> has expanded. O</w:t>
      </w:r>
      <w:r w:rsidR="00951E89">
        <w:rPr>
          <w:rFonts w:ascii="Times New Roman" w:hAnsi="Times New Roman"/>
          <w:bCs/>
          <w:sz w:val="24"/>
          <w:szCs w:val="24"/>
        </w:rPr>
        <w:t>ften associated</w:t>
      </w:r>
      <w:r>
        <w:rPr>
          <w:rFonts w:ascii="Times New Roman" w:hAnsi="Times New Roman"/>
          <w:bCs/>
          <w:sz w:val="24"/>
          <w:szCs w:val="24"/>
        </w:rPr>
        <w:t xml:space="preserve"> with illness due to </w:t>
      </w:r>
      <w:r w:rsidR="00951E89">
        <w:rPr>
          <w:rFonts w:ascii="Times New Roman" w:hAnsi="Times New Roman"/>
          <w:bCs/>
          <w:sz w:val="24"/>
          <w:szCs w:val="24"/>
        </w:rPr>
        <w:t>exposure to</w:t>
      </w:r>
      <w:r>
        <w:rPr>
          <w:rFonts w:ascii="Times New Roman" w:hAnsi="Times New Roman"/>
          <w:bCs/>
          <w:sz w:val="24"/>
          <w:szCs w:val="24"/>
        </w:rPr>
        <w:t xml:space="preserve"> </w:t>
      </w:r>
      <w:r w:rsidR="00951E89">
        <w:rPr>
          <w:rFonts w:ascii="Times New Roman" w:hAnsi="Times New Roman"/>
          <w:bCs/>
          <w:sz w:val="24"/>
          <w:szCs w:val="24"/>
        </w:rPr>
        <w:t xml:space="preserve">low molecular weight biotoxins and inflammagens found </w:t>
      </w:r>
      <w:r>
        <w:rPr>
          <w:rFonts w:ascii="Times New Roman" w:hAnsi="Times New Roman"/>
          <w:bCs/>
          <w:sz w:val="24"/>
          <w:szCs w:val="24"/>
        </w:rPr>
        <w:t xml:space="preserve">(i) </w:t>
      </w:r>
      <w:r w:rsidR="00951E89">
        <w:rPr>
          <w:rFonts w:ascii="Times New Roman" w:hAnsi="Times New Roman"/>
          <w:bCs/>
          <w:sz w:val="24"/>
          <w:szCs w:val="24"/>
        </w:rPr>
        <w:t>inside water-damaged buildings</w:t>
      </w:r>
      <w:r w:rsidR="00C41812">
        <w:rPr>
          <w:rFonts w:ascii="Times New Roman" w:hAnsi="Times New Roman"/>
          <w:bCs/>
          <w:sz w:val="24"/>
          <w:szCs w:val="24"/>
        </w:rPr>
        <w:t xml:space="preserve"> (WDB</w:t>
      </w:r>
      <w:r w:rsidR="00535F32">
        <w:rPr>
          <w:rFonts w:ascii="Times New Roman" w:hAnsi="Times New Roman"/>
          <w:bCs/>
          <w:sz w:val="24"/>
          <w:szCs w:val="24"/>
        </w:rPr>
        <w:t>); (</w:t>
      </w:r>
      <w:r w:rsidR="00C41812">
        <w:rPr>
          <w:rFonts w:ascii="Times New Roman" w:hAnsi="Times New Roman"/>
          <w:bCs/>
          <w:sz w:val="24"/>
          <w:szCs w:val="24"/>
        </w:rPr>
        <w:t>ii</w:t>
      </w:r>
      <w:r w:rsidR="00535F32">
        <w:rPr>
          <w:rFonts w:ascii="Times New Roman" w:hAnsi="Times New Roman"/>
          <w:bCs/>
          <w:sz w:val="24"/>
          <w:szCs w:val="24"/>
        </w:rPr>
        <w:t>) following</w:t>
      </w:r>
      <w:r w:rsidR="00C41812">
        <w:rPr>
          <w:rFonts w:ascii="Times New Roman" w:hAnsi="Times New Roman"/>
          <w:bCs/>
          <w:sz w:val="24"/>
          <w:szCs w:val="24"/>
        </w:rPr>
        <w:t xml:space="preserve"> exposure to </w:t>
      </w:r>
      <w:r w:rsidR="00951E89">
        <w:rPr>
          <w:rFonts w:ascii="Times New Roman" w:hAnsi="Times New Roman"/>
          <w:bCs/>
          <w:sz w:val="24"/>
          <w:szCs w:val="24"/>
        </w:rPr>
        <w:t xml:space="preserve">blooms of </w:t>
      </w:r>
      <w:r w:rsidR="00535F32">
        <w:rPr>
          <w:rFonts w:ascii="Times New Roman" w:hAnsi="Times New Roman"/>
          <w:bCs/>
          <w:sz w:val="24"/>
          <w:szCs w:val="24"/>
        </w:rPr>
        <w:t>cyanobacteria; (</w:t>
      </w:r>
      <w:r w:rsidR="00C41812">
        <w:rPr>
          <w:rFonts w:ascii="Times New Roman" w:hAnsi="Times New Roman"/>
          <w:bCs/>
          <w:sz w:val="24"/>
          <w:szCs w:val="24"/>
        </w:rPr>
        <w:t xml:space="preserve">iii) following consumption of ciguatoxic fish; and </w:t>
      </w:r>
      <w:r>
        <w:rPr>
          <w:rFonts w:ascii="Times New Roman" w:hAnsi="Times New Roman"/>
          <w:bCs/>
          <w:sz w:val="24"/>
          <w:szCs w:val="24"/>
        </w:rPr>
        <w:t>(iv)</w:t>
      </w:r>
      <w:r w:rsidR="00C41812">
        <w:rPr>
          <w:rFonts w:ascii="Times New Roman" w:hAnsi="Times New Roman"/>
          <w:bCs/>
          <w:sz w:val="24"/>
          <w:szCs w:val="24"/>
        </w:rPr>
        <w:t xml:space="preserve"> following confirmed acute</w:t>
      </w:r>
      <w:r w:rsidR="00951E89">
        <w:rPr>
          <w:rFonts w:ascii="Times New Roman" w:hAnsi="Times New Roman"/>
          <w:bCs/>
          <w:sz w:val="24"/>
          <w:szCs w:val="24"/>
        </w:rPr>
        <w:t xml:space="preserve"> Lyme disease, persistent despite reasonable use of </w:t>
      </w:r>
      <w:r w:rsidR="00535F32">
        <w:rPr>
          <w:rFonts w:ascii="Times New Roman" w:hAnsi="Times New Roman"/>
          <w:bCs/>
          <w:sz w:val="24"/>
          <w:szCs w:val="24"/>
        </w:rPr>
        <w:t>antibiotics, CIRS</w:t>
      </w:r>
      <w:r>
        <w:rPr>
          <w:rFonts w:ascii="Times New Roman" w:hAnsi="Times New Roman"/>
          <w:bCs/>
          <w:sz w:val="24"/>
          <w:szCs w:val="24"/>
        </w:rPr>
        <w:t xml:space="preserve"> is increasingly recognized. A</w:t>
      </w:r>
      <w:r w:rsidR="00C41812">
        <w:rPr>
          <w:rFonts w:ascii="Times New Roman" w:hAnsi="Times New Roman"/>
          <w:bCs/>
          <w:sz w:val="24"/>
          <w:szCs w:val="24"/>
        </w:rPr>
        <w:t xml:space="preserve"> need for a formal case definition and case management protocol has arisen. </w:t>
      </w:r>
      <w:r>
        <w:rPr>
          <w:rFonts w:ascii="Times New Roman" w:hAnsi="Times New Roman"/>
          <w:bCs/>
          <w:sz w:val="24"/>
          <w:szCs w:val="24"/>
        </w:rPr>
        <w:t xml:space="preserve">Patients with CIRS will have abnormalities in innate responses, reduced levels of regulatory neuropeptides MSH and VIP, elevated inflammatory markers of C4a, MMP9 and TGF beta-1. </w:t>
      </w:r>
      <w:r w:rsidR="00C41812">
        <w:rPr>
          <w:rFonts w:ascii="Times New Roman" w:hAnsi="Times New Roman"/>
          <w:bCs/>
          <w:sz w:val="24"/>
          <w:szCs w:val="24"/>
        </w:rPr>
        <w:t>Systemic illness, based on abnormal gene activation and suppression, as shown by RNA Seq and transcriptomics, require</w:t>
      </w:r>
      <w:r>
        <w:rPr>
          <w:rFonts w:ascii="Times New Roman" w:hAnsi="Times New Roman"/>
          <w:bCs/>
          <w:sz w:val="24"/>
          <w:szCs w:val="24"/>
        </w:rPr>
        <w:t>s</w:t>
      </w:r>
      <w:r w:rsidR="00C41812">
        <w:rPr>
          <w:rFonts w:ascii="Times New Roman" w:hAnsi="Times New Roman"/>
          <w:bCs/>
          <w:sz w:val="24"/>
          <w:szCs w:val="24"/>
        </w:rPr>
        <w:t xml:space="preserve"> a multi-factorial</w:t>
      </w:r>
      <w:r>
        <w:rPr>
          <w:rFonts w:ascii="Times New Roman" w:hAnsi="Times New Roman"/>
          <w:bCs/>
          <w:sz w:val="24"/>
          <w:szCs w:val="24"/>
        </w:rPr>
        <w:t>, rigorous</w:t>
      </w:r>
      <w:r w:rsidR="00C41812">
        <w:rPr>
          <w:rFonts w:ascii="Times New Roman" w:hAnsi="Times New Roman"/>
          <w:bCs/>
          <w:sz w:val="24"/>
          <w:szCs w:val="24"/>
        </w:rPr>
        <w:t xml:space="preserve"> diagnostic assessment to assist in </w:t>
      </w:r>
      <w:r w:rsidR="00D274AD">
        <w:rPr>
          <w:rFonts w:ascii="Times New Roman" w:hAnsi="Times New Roman"/>
          <w:bCs/>
          <w:sz w:val="24"/>
          <w:szCs w:val="24"/>
        </w:rPr>
        <w:t xml:space="preserve">both </w:t>
      </w:r>
      <w:r w:rsidR="00C41812">
        <w:rPr>
          <w:rFonts w:ascii="Times New Roman" w:hAnsi="Times New Roman"/>
          <w:bCs/>
          <w:sz w:val="24"/>
          <w:szCs w:val="24"/>
        </w:rPr>
        <w:t>differential diagnosis and monitoring response to therapy.</w:t>
      </w:r>
      <w:r w:rsidR="00D274AD">
        <w:rPr>
          <w:rFonts w:ascii="Times New Roman" w:hAnsi="Times New Roman"/>
          <w:bCs/>
          <w:sz w:val="24"/>
          <w:szCs w:val="24"/>
        </w:rPr>
        <w:t xml:space="preserve"> A consensus statement is herein provided to assist practitioners in case identification and management.</w:t>
      </w:r>
    </w:p>
    <w:p w14:paraId="5CAB6366" w14:textId="77777777" w:rsidR="00D274AD" w:rsidRDefault="00D274AD" w:rsidP="00466750">
      <w:pPr>
        <w:pStyle w:val="BodyA"/>
        <w:spacing w:after="0"/>
        <w:jc w:val="both"/>
        <w:rPr>
          <w:rFonts w:ascii="Times New Roman" w:hAnsi="Times New Roman"/>
          <w:bCs/>
          <w:sz w:val="24"/>
          <w:szCs w:val="24"/>
        </w:rPr>
      </w:pPr>
    </w:p>
    <w:p w14:paraId="36113638" w14:textId="49C41EF6" w:rsidR="00D274AD" w:rsidRPr="002F33CB" w:rsidRDefault="00D274AD" w:rsidP="00466750">
      <w:pPr>
        <w:pStyle w:val="BodyA"/>
        <w:spacing w:after="0"/>
        <w:jc w:val="both"/>
        <w:rPr>
          <w:sz w:val="24"/>
          <w:szCs w:val="24"/>
        </w:rPr>
      </w:pPr>
      <w:r>
        <w:rPr>
          <w:rFonts w:ascii="Times New Roman" w:hAnsi="Times New Roman"/>
          <w:bCs/>
          <w:sz w:val="24"/>
          <w:szCs w:val="24"/>
        </w:rPr>
        <w:t>Key words: CIRS, water-damaged buildings, transcriptomics, cyanobacteria, Post Lyme syndrome ciguatera, visual contrast sensitivity</w:t>
      </w:r>
    </w:p>
    <w:p w14:paraId="4C218385" w14:textId="77777777" w:rsidR="00466750" w:rsidRDefault="00466750" w:rsidP="00466750">
      <w:pPr>
        <w:pStyle w:val="BodyA"/>
        <w:jc w:val="both"/>
        <w:sectPr w:rsidR="00466750" w:rsidSect="00466750">
          <w:type w:val="continuous"/>
          <w:pgSz w:w="12240" w:h="15840"/>
          <w:pgMar w:top="1440" w:right="1440" w:bottom="1440" w:left="1440" w:header="720" w:footer="576" w:gutter="0"/>
          <w:cols w:num="2" w:space="720" w:equalWidth="0">
            <w:col w:w="2640" w:space="720"/>
            <w:col w:w="6000"/>
          </w:cols>
          <w:titlePg/>
          <w:docGrid w:linePitch="326"/>
        </w:sectPr>
      </w:pPr>
    </w:p>
    <w:p w14:paraId="0662E185" w14:textId="310FF472" w:rsidR="008F352C" w:rsidRDefault="008F352C" w:rsidP="00466750">
      <w:pPr>
        <w:pStyle w:val="BodyA"/>
        <w:jc w:val="both"/>
      </w:pPr>
    </w:p>
    <w:p w14:paraId="7486A21E" w14:textId="77777777" w:rsidR="0036523A" w:rsidRDefault="0036523A" w:rsidP="00466750">
      <w:pPr>
        <w:pStyle w:val="BodyA"/>
        <w:jc w:val="both"/>
      </w:pPr>
    </w:p>
    <w:p w14:paraId="6C064A56" w14:textId="77777777" w:rsidR="0036523A" w:rsidRDefault="0036523A" w:rsidP="00466750">
      <w:pPr>
        <w:pStyle w:val="BodyA"/>
        <w:jc w:val="both"/>
      </w:pPr>
    </w:p>
    <w:p w14:paraId="485EC5BE" w14:textId="77777777" w:rsidR="0036523A" w:rsidRDefault="0036523A" w:rsidP="00466750">
      <w:pPr>
        <w:pStyle w:val="BodyA"/>
        <w:jc w:val="both"/>
      </w:pPr>
    </w:p>
    <w:p w14:paraId="76D4F7A4" w14:textId="77777777" w:rsidR="0036523A" w:rsidRDefault="0036523A" w:rsidP="00466750">
      <w:pPr>
        <w:pStyle w:val="BodyA"/>
        <w:jc w:val="both"/>
      </w:pPr>
    </w:p>
    <w:p w14:paraId="632D44D0" w14:textId="77777777" w:rsidR="0036523A" w:rsidRDefault="0036523A" w:rsidP="00466750">
      <w:pPr>
        <w:pStyle w:val="BodyA"/>
        <w:jc w:val="both"/>
      </w:pPr>
    </w:p>
    <w:p w14:paraId="5AB5D1AD" w14:textId="77777777" w:rsidR="0036523A" w:rsidRDefault="0036523A" w:rsidP="00466750">
      <w:pPr>
        <w:pStyle w:val="BodyA"/>
        <w:jc w:val="both"/>
      </w:pPr>
    </w:p>
    <w:p w14:paraId="0C39CC31" w14:textId="77777777" w:rsidR="0036523A" w:rsidRDefault="0036523A" w:rsidP="00466750">
      <w:pPr>
        <w:pStyle w:val="BodyA"/>
        <w:jc w:val="both"/>
      </w:pPr>
    </w:p>
    <w:p w14:paraId="205B2E52" w14:textId="77777777" w:rsidR="0036523A" w:rsidRDefault="0036523A" w:rsidP="00466750">
      <w:pPr>
        <w:pStyle w:val="BodyA"/>
        <w:jc w:val="both"/>
      </w:pPr>
    </w:p>
    <w:p w14:paraId="650CD44E" w14:textId="77777777" w:rsidR="0036523A" w:rsidRDefault="0036523A" w:rsidP="00466750">
      <w:pPr>
        <w:pStyle w:val="BodyA"/>
        <w:jc w:val="both"/>
      </w:pPr>
    </w:p>
    <w:p w14:paraId="3839B058" w14:textId="77777777" w:rsidR="0036523A" w:rsidRDefault="0036523A" w:rsidP="00466750">
      <w:pPr>
        <w:pStyle w:val="BodyA"/>
        <w:jc w:val="both"/>
        <w:rPr>
          <w:rFonts w:ascii="Times New Roman" w:hAnsi="Times New Roman"/>
          <w:b/>
          <w:bCs/>
          <w:sz w:val="28"/>
          <w:szCs w:val="28"/>
          <w:lang w:val="fr-FR"/>
        </w:rPr>
      </w:pPr>
    </w:p>
    <w:p w14:paraId="39E97039" w14:textId="77777777" w:rsidR="0036523A" w:rsidRDefault="0036523A" w:rsidP="00466750">
      <w:pPr>
        <w:pStyle w:val="BodyA"/>
        <w:jc w:val="both"/>
        <w:rPr>
          <w:rFonts w:ascii="Times New Roman" w:hAnsi="Times New Roman"/>
          <w:b/>
          <w:bCs/>
          <w:sz w:val="28"/>
          <w:szCs w:val="28"/>
          <w:lang w:val="fr-FR"/>
        </w:rPr>
        <w:sectPr w:rsidR="0036523A" w:rsidSect="00466750">
          <w:type w:val="continuous"/>
          <w:pgSz w:w="12240" w:h="15840"/>
          <w:pgMar w:top="1440" w:right="1440" w:bottom="1440" w:left="1440" w:header="720" w:footer="576" w:gutter="0"/>
          <w:cols w:space="720"/>
          <w:titlePg/>
          <w:docGrid w:linePitch="326"/>
        </w:sectPr>
      </w:pPr>
    </w:p>
    <w:p w14:paraId="2A3C87F9" w14:textId="7E37B360" w:rsidR="0036523A" w:rsidRDefault="00535F32" w:rsidP="00466750">
      <w:pPr>
        <w:pStyle w:val="BodyA"/>
        <w:jc w:val="both"/>
      </w:pPr>
      <w:r>
        <w:rPr>
          <w:rFonts w:ascii="Times New Roman" w:hAnsi="Times New Roman"/>
          <w:b/>
          <w:bCs/>
          <w:sz w:val="28"/>
          <w:szCs w:val="28"/>
          <w:lang w:val="fr-FR"/>
        </w:rPr>
        <w:lastRenderedPageBreak/>
        <w:t>Introduction :</w:t>
      </w:r>
    </w:p>
    <w:p w14:paraId="30FEBFAB" w14:textId="6F39246F" w:rsidR="008F352C" w:rsidRPr="0036523A" w:rsidRDefault="00D274AD" w:rsidP="00466750">
      <w:pPr>
        <w:pStyle w:val="BodyA"/>
        <w:jc w:val="both"/>
      </w:pPr>
      <w:r>
        <w:rPr>
          <w:rFonts w:ascii="Times New Roman" w:hAnsi="Times New Roman"/>
          <w:sz w:val="24"/>
          <w:szCs w:val="24"/>
        </w:rPr>
        <w:t xml:space="preserve">As </w:t>
      </w:r>
      <w:r w:rsidR="008F352C">
        <w:rPr>
          <w:rFonts w:ascii="Times New Roman" w:hAnsi="Times New Roman"/>
          <w:sz w:val="24"/>
          <w:szCs w:val="24"/>
        </w:rPr>
        <w:t>the third decade of CIRS-medicine</w:t>
      </w:r>
      <w:r>
        <w:rPr>
          <w:rFonts w:ascii="Times New Roman" w:hAnsi="Times New Roman"/>
          <w:sz w:val="24"/>
          <w:szCs w:val="24"/>
        </w:rPr>
        <w:t xml:space="preserve"> begins, the key elements of CIRS are reviewed </w:t>
      </w:r>
      <w:r w:rsidR="00F95FE6">
        <w:rPr>
          <w:rFonts w:ascii="Times New Roman" w:hAnsi="Times New Roman"/>
          <w:sz w:val="24"/>
          <w:szCs w:val="24"/>
        </w:rPr>
        <w:t>in</w:t>
      </w:r>
      <w:r>
        <w:rPr>
          <w:rFonts w:ascii="Times New Roman" w:hAnsi="Times New Roman"/>
          <w:sz w:val="24"/>
          <w:szCs w:val="24"/>
        </w:rPr>
        <w:t xml:space="preserve"> a consensus statement to </w:t>
      </w:r>
      <w:r w:rsidR="00F95FE6">
        <w:rPr>
          <w:rFonts w:ascii="Times New Roman" w:hAnsi="Times New Roman"/>
          <w:sz w:val="24"/>
          <w:szCs w:val="24"/>
        </w:rPr>
        <w:t>enhance accuracy and reliability of</w:t>
      </w:r>
      <w:r w:rsidR="008F352C">
        <w:rPr>
          <w:rFonts w:ascii="Times New Roman" w:hAnsi="Times New Roman"/>
          <w:sz w:val="24"/>
          <w:szCs w:val="24"/>
        </w:rPr>
        <w:t xml:space="preserve"> the diagnostic process</w:t>
      </w:r>
      <w:r>
        <w:rPr>
          <w:rFonts w:ascii="Times New Roman" w:hAnsi="Times New Roman"/>
          <w:sz w:val="24"/>
          <w:szCs w:val="24"/>
        </w:rPr>
        <w:t xml:space="preserve">. </w:t>
      </w:r>
      <w:r w:rsidR="008F352C">
        <w:rPr>
          <w:rFonts w:ascii="Times New Roman" w:hAnsi="Times New Roman"/>
          <w:sz w:val="24"/>
          <w:szCs w:val="24"/>
        </w:rPr>
        <w:t xml:space="preserve">This consensus statement has been approved by (i) the diagnostic module consensus statement committee of Surviving Mold and (ii) approved by the 65 members of the Surviving Mold list serve. </w:t>
      </w:r>
    </w:p>
    <w:p w14:paraId="153EC7E6" w14:textId="77777777" w:rsidR="00550E8A" w:rsidRDefault="00550E8A" w:rsidP="00466750">
      <w:pPr>
        <w:pStyle w:val="BodyA"/>
        <w:jc w:val="both"/>
      </w:pPr>
    </w:p>
    <w:p w14:paraId="380BD817" w14:textId="77777777" w:rsidR="008F352C" w:rsidRDefault="008F352C" w:rsidP="00466750">
      <w:pPr>
        <w:pStyle w:val="BodyA"/>
        <w:jc w:val="both"/>
      </w:pPr>
      <w:r>
        <w:rPr>
          <w:rFonts w:ascii="Times New Roman" w:hAnsi="Times New Roman"/>
          <w:b/>
          <w:bCs/>
          <w:sz w:val="28"/>
          <w:szCs w:val="28"/>
        </w:rPr>
        <w:t>Section 1. What is CIRS?</w:t>
      </w:r>
    </w:p>
    <w:p w14:paraId="396DC372" w14:textId="4422FE01" w:rsidR="008F352C" w:rsidRDefault="008F352C" w:rsidP="00466750">
      <w:pPr>
        <w:pStyle w:val="BodyA"/>
        <w:jc w:val="both"/>
      </w:pPr>
      <w:r>
        <w:rPr>
          <w:rFonts w:ascii="Times New Roman" w:hAnsi="Times New Roman"/>
          <w:sz w:val="24"/>
          <w:szCs w:val="24"/>
        </w:rPr>
        <w:t>Chronic inflammatory response syndromes (CIRS) are multisystem, multi-symptom illnesses acquired following exposure to environmentally produced biotoxins (1, 2, 3, 4, 5</w:t>
      </w:r>
      <w:r w:rsidR="00E560C4">
        <w:rPr>
          <w:rFonts w:ascii="Times New Roman" w:hAnsi="Times New Roman"/>
          <w:sz w:val="24"/>
          <w:szCs w:val="24"/>
        </w:rPr>
        <w:t>, 6, 7, 8, 9</w:t>
      </w:r>
      <w:r>
        <w:rPr>
          <w:rFonts w:ascii="Times New Roman" w:hAnsi="Times New Roman"/>
          <w:sz w:val="24"/>
          <w:szCs w:val="24"/>
        </w:rPr>
        <w:t>).</w:t>
      </w:r>
    </w:p>
    <w:p w14:paraId="42EFC521" w14:textId="2006533B" w:rsidR="008F352C" w:rsidRDefault="008F352C" w:rsidP="00466750">
      <w:pPr>
        <w:pStyle w:val="BodyA"/>
        <w:jc w:val="both"/>
      </w:pPr>
      <w:r>
        <w:rPr>
          <w:rFonts w:ascii="Times New Roman" w:hAnsi="Times New Roman"/>
          <w:sz w:val="24"/>
          <w:szCs w:val="24"/>
        </w:rPr>
        <w:t>CIRS has gone through an evolution of names over the years. Initially, in the 1990’s, CIRS was called a</w:t>
      </w:r>
      <w:r w:rsidR="00E560C4">
        <w:rPr>
          <w:rFonts w:ascii="Times New Roman" w:hAnsi="Times New Roman"/>
          <w:sz w:val="24"/>
          <w:szCs w:val="24"/>
        </w:rPr>
        <w:t xml:space="preserve"> neurotoxin-mediated illness (10, 11</w:t>
      </w:r>
      <w:r>
        <w:rPr>
          <w:rFonts w:ascii="Times New Roman" w:hAnsi="Times New Roman"/>
          <w:sz w:val="24"/>
          <w:szCs w:val="24"/>
        </w:rPr>
        <w:t>). As more informatio</w:t>
      </w:r>
      <w:r w:rsidR="00914146">
        <w:rPr>
          <w:rFonts w:ascii="Times New Roman" w:hAnsi="Times New Roman"/>
          <w:sz w:val="24"/>
          <w:szCs w:val="24"/>
        </w:rPr>
        <w:t>n was added</w:t>
      </w:r>
      <w:r>
        <w:rPr>
          <w:rFonts w:ascii="Times New Roman" w:hAnsi="Times New Roman"/>
          <w:sz w:val="24"/>
          <w:szCs w:val="24"/>
        </w:rPr>
        <w:t xml:space="preserve">, the term was changed to chronic biotoxin associated illness (CBAI). The third change to CIRS occurred following development of a commercial assay for </w:t>
      </w:r>
      <w:r w:rsidR="00DB6617">
        <w:rPr>
          <w:rFonts w:ascii="Times New Roman" w:hAnsi="Times New Roman"/>
          <w:sz w:val="24"/>
          <w:szCs w:val="24"/>
        </w:rPr>
        <w:t>transforming growth factor beta-1 (</w:t>
      </w:r>
      <w:r w:rsidR="00DA5D11" w:rsidRPr="00E55ECD">
        <w:rPr>
          <w:rStyle w:val="None"/>
          <w:rFonts w:ascii="Times New Roman" w:hAnsi="Times New Roman" w:cs="Times New Roman"/>
          <w:sz w:val="24"/>
          <w:szCs w:val="24"/>
        </w:rPr>
        <w:t>TGF-beta</w:t>
      </w:r>
      <w:r w:rsidR="00DB6617">
        <w:rPr>
          <w:rStyle w:val="None"/>
          <w:rFonts w:ascii="Times New Roman" w:hAnsi="Times New Roman" w:cs="Times New Roman"/>
          <w:sz w:val="24"/>
          <w:szCs w:val="24"/>
        </w:rPr>
        <w:t>-</w:t>
      </w:r>
      <w:r w:rsidR="00DA5D11" w:rsidRPr="00E55ECD">
        <w:rPr>
          <w:rStyle w:val="None"/>
          <w:rFonts w:ascii="Times New Roman" w:hAnsi="Times New Roman" w:cs="Times New Roman"/>
          <w:sz w:val="24"/>
          <w:szCs w:val="24"/>
        </w:rPr>
        <w:t>1</w:t>
      </w:r>
      <w:r w:rsidR="00DB6617">
        <w:rPr>
          <w:rStyle w:val="None"/>
          <w:rFonts w:ascii="Times New Roman" w:hAnsi="Times New Roman" w:cs="Times New Roman"/>
          <w:sz w:val="24"/>
          <w:szCs w:val="24"/>
        </w:rPr>
        <w:t>)</w:t>
      </w:r>
      <w:r w:rsidR="00DA5D11">
        <w:rPr>
          <w:rStyle w:val="None"/>
          <w:rFonts w:ascii="Times New Roman" w:hAnsi="Times New Roman" w:cs="Times New Roman"/>
          <w:sz w:val="24"/>
          <w:szCs w:val="24"/>
        </w:rPr>
        <w:t xml:space="preserve"> </w:t>
      </w:r>
      <w:r>
        <w:rPr>
          <w:rFonts w:ascii="Times New Roman" w:hAnsi="Times New Roman"/>
          <w:sz w:val="24"/>
          <w:szCs w:val="24"/>
        </w:rPr>
        <w:t>in 2008</w:t>
      </w:r>
      <w:r w:rsidR="0058667B">
        <w:rPr>
          <w:rFonts w:ascii="Times New Roman" w:hAnsi="Times New Roman"/>
          <w:sz w:val="24"/>
          <w:szCs w:val="24"/>
        </w:rPr>
        <w:t xml:space="preserve">, </w:t>
      </w:r>
      <w:r w:rsidR="00A41EE7">
        <w:rPr>
          <w:rFonts w:ascii="Times New Roman" w:hAnsi="Times New Roman"/>
          <w:sz w:val="24"/>
          <w:szCs w:val="24"/>
        </w:rPr>
        <w:t>shortly before</w:t>
      </w:r>
      <w:r>
        <w:rPr>
          <w:rFonts w:ascii="Times New Roman" w:hAnsi="Times New Roman"/>
          <w:sz w:val="24"/>
          <w:szCs w:val="24"/>
        </w:rPr>
        <w:t xml:space="preserve"> the development of a commercial assay for acquired T regulatory cells in 2009. CIRS was confirmed to involve many arms of the immune response systems acting simultaneously and in combination.</w:t>
      </w:r>
    </w:p>
    <w:p w14:paraId="036A5F3B" w14:textId="29298BEF" w:rsidR="008F352C" w:rsidRDefault="008F352C" w:rsidP="00466750">
      <w:pPr>
        <w:pStyle w:val="BodyA"/>
        <w:jc w:val="both"/>
      </w:pPr>
      <w:r>
        <w:rPr>
          <w:rFonts w:ascii="Times New Roman" w:hAnsi="Times New Roman"/>
          <w:sz w:val="24"/>
          <w:szCs w:val="24"/>
        </w:rPr>
        <w:t xml:space="preserve">CIRS itself is modeled after an acute systemic inflammatory response syndrome (SIRS), an acronym typically used to describe an acute inflammatory illness, </w:t>
      </w:r>
      <w:r w:rsidR="00914146">
        <w:rPr>
          <w:rFonts w:ascii="Times New Roman" w:hAnsi="Times New Roman"/>
          <w:sz w:val="24"/>
          <w:szCs w:val="24"/>
        </w:rPr>
        <w:t xml:space="preserve">most commonly </w:t>
      </w:r>
      <w:r>
        <w:rPr>
          <w:rFonts w:ascii="Times New Roman" w:hAnsi="Times New Roman"/>
          <w:sz w:val="24"/>
          <w:szCs w:val="24"/>
        </w:rPr>
        <w:t>sepsis. In patients with sepsis there is</w:t>
      </w:r>
      <w:r w:rsidR="00DB6617">
        <w:rPr>
          <w:rFonts w:ascii="Times New Roman" w:hAnsi="Times New Roman"/>
          <w:sz w:val="24"/>
          <w:szCs w:val="24"/>
        </w:rPr>
        <w:t xml:space="preserve"> simultaneous activation of Th1, Th2 and Th17 </w:t>
      </w:r>
      <w:r>
        <w:rPr>
          <w:rFonts w:ascii="Times New Roman" w:hAnsi="Times New Roman"/>
          <w:sz w:val="24"/>
          <w:szCs w:val="24"/>
        </w:rPr>
        <w:t xml:space="preserve">immunity; coagulation factors; and complement in response to an overwhelming stimulus of infection and endotoxin present in the blood stream. In this regard, the illness becomes the host </w:t>
      </w:r>
      <w:r>
        <w:rPr>
          <w:rFonts w:ascii="Times New Roman" w:hAnsi="Times New Roman"/>
          <w:sz w:val="24"/>
          <w:szCs w:val="24"/>
        </w:rPr>
        <w:t>response as el</w:t>
      </w:r>
      <w:r w:rsidR="00E560C4">
        <w:rPr>
          <w:rFonts w:ascii="Times New Roman" w:hAnsi="Times New Roman"/>
          <w:sz w:val="24"/>
          <w:szCs w:val="24"/>
        </w:rPr>
        <w:t>oquently described by Thomas (12</w:t>
      </w:r>
      <w:r>
        <w:rPr>
          <w:rFonts w:ascii="Times New Roman" w:hAnsi="Times New Roman"/>
          <w:sz w:val="24"/>
          <w:szCs w:val="24"/>
        </w:rPr>
        <w:t>).</w:t>
      </w:r>
    </w:p>
    <w:p w14:paraId="22D3FE8D" w14:textId="50F6CCD5" w:rsidR="008F352C" w:rsidRDefault="008F352C" w:rsidP="00466750">
      <w:pPr>
        <w:pStyle w:val="BodyA"/>
        <w:jc w:val="both"/>
        <w:rPr>
          <w:rFonts w:ascii="Times New Roman" w:hAnsi="Times New Roman"/>
          <w:sz w:val="24"/>
          <w:szCs w:val="24"/>
        </w:rPr>
      </w:pPr>
      <w:r>
        <w:rPr>
          <w:rFonts w:ascii="Times New Roman" w:hAnsi="Times New Roman"/>
          <w:sz w:val="24"/>
          <w:szCs w:val="24"/>
        </w:rPr>
        <w:t>Survivors of sepsis have been well studied; they have a heightened level of innate immune activation post-sepsis compared to before</w:t>
      </w:r>
      <w:r>
        <w:rPr>
          <w:rFonts w:ascii="Times New Roman" w:hAnsi="Times New Roman"/>
          <w:color w:val="0070C0"/>
          <w:sz w:val="24"/>
          <w:szCs w:val="24"/>
        </w:rPr>
        <w:t>.</w:t>
      </w:r>
      <w:r w:rsidRPr="00525FAB">
        <w:rPr>
          <w:rFonts w:ascii="Times New Roman" w:hAnsi="Times New Roman"/>
          <w:color w:val="0070C0"/>
          <w:sz w:val="24"/>
          <w:szCs w:val="24"/>
        </w:rPr>
        <w:t xml:space="preserve"> </w:t>
      </w:r>
      <w:r>
        <w:rPr>
          <w:rFonts w:ascii="Times New Roman" w:hAnsi="Times New Roman"/>
          <w:sz w:val="24"/>
          <w:szCs w:val="24"/>
        </w:rPr>
        <w:t>Survivors have a significant increase in interleukin 10 and go on to suffer a greater incidence of</w:t>
      </w:r>
      <w:r w:rsidR="006E487F">
        <w:rPr>
          <w:rFonts w:ascii="Times New Roman" w:hAnsi="Times New Roman"/>
          <w:sz w:val="24"/>
          <w:szCs w:val="24"/>
        </w:rPr>
        <w:t xml:space="preserve"> chronic fatiguing illnesses (13, 14</w:t>
      </w:r>
      <w:r>
        <w:rPr>
          <w:rFonts w:ascii="Times New Roman" w:hAnsi="Times New Roman"/>
          <w:sz w:val="24"/>
          <w:szCs w:val="24"/>
        </w:rPr>
        <w:t>).</w:t>
      </w:r>
    </w:p>
    <w:p w14:paraId="271CF560" w14:textId="77777777" w:rsidR="00EC5D61" w:rsidRDefault="00EC5D61" w:rsidP="00466750">
      <w:pPr>
        <w:pStyle w:val="BodyA"/>
        <w:jc w:val="both"/>
      </w:pPr>
    </w:p>
    <w:p w14:paraId="37A1F402" w14:textId="39EA19C7" w:rsidR="00550E8A" w:rsidRDefault="008F352C" w:rsidP="00466750">
      <w:pPr>
        <w:pStyle w:val="BodyA"/>
        <w:jc w:val="both"/>
        <w:rPr>
          <w:rFonts w:ascii="Times New Roman" w:hAnsi="Times New Roman"/>
          <w:sz w:val="24"/>
          <w:szCs w:val="24"/>
        </w:rPr>
      </w:pPr>
      <w:r>
        <w:rPr>
          <w:rFonts w:ascii="Times New Roman" w:hAnsi="Times New Roman"/>
          <w:sz w:val="24"/>
          <w:szCs w:val="24"/>
        </w:rPr>
        <w:t>In 2008, followed by a publication in 2010 (19)</w:t>
      </w:r>
      <w:r w:rsidR="00914146">
        <w:rPr>
          <w:rFonts w:ascii="Times New Roman" w:hAnsi="Times New Roman"/>
          <w:sz w:val="24"/>
          <w:szCs w:val="24"/>
        </w:rPr>
        <w:t>,</w:t>
      </w:r>
      <w:r>
        <w:rPr>
          <w:rFonts w:ascii="Times New Roman" w:hAnsi="Times New Roman"/>
          <w:sz w:val="24"/>
          <w:szCs w:val="24"/>
        </w:rPr>
        <w:t xml:space="preserve"> members of the “mold” medical community began using a jargon term, CIRS-WDB to describe illness seen with the same activation of Th1, Th2, Th17, coagulation, complement activation and more. If the illness came from w</w:t>
      </w:r>
      <w:r w:rsidR="00D274AD">
        <w:rPr>
          <w:rFonts w:ascii="Times New Roman" w:hAnsi="Times New Roman"/>
          <w:sz w:val="24"/>
          <w:szCs w:val="24"/>
        </w:rPr>
        <w:t xml:space="preserve">ater-damaged buildings, it was </w:t>
      </w:r>
      <w:r>
        <w:rPr>
          <w:rFonts w:ascii="Times New Roman" w:hAnsi="Times New Roman"/>
          <w:sz w:val="24"/>
          <w:szCs w:val="24"/>
        </w:rPr>
        <w:t xml:space="preserve">called CIRS-WDB. If symptoms came from Post Lyme Syndrome, </w:t>
      </w:r>
      <w:r w:rsidR="00D274AD">
        <w:rPr>
          <w:rFonts w:ascii="Times New Roman" w:hAnsi="Times New Roman"/>
          <w:sz w:val="24"/>
          <w:szCs w:val="24"/>
        </w:rPr>
        <w:t>it was called</w:t>
      </w:r>
      <w:r>
        <w:rPr>
          <w:rFonts w:ascii="Times New Roman" w:hAnsi="Times New Roman"/>
          <w:sz w:val="24"/>
          <w:szCs w:val="24"/>
        </w:rPr>
        <w:t xml:space="preserve"> CIRS-PLS. If</w:t>
      </w:r>
      <w:r w:rsidR="00D274AD">
        <w:rPr>
          <w:rFonts w:ascii="Times New Roman" w:hAnsi="Times New Roman"/>
          <w:sz w:val="24"/>
          <w:szCs w:val="24"/>
        </w:rPr>
        <w:t xml:space="preserve"> symptoms came from ciguatera it was</w:t>
      </w:r>
      <w:r>
        <w:rPr>
          <w:rFonts w:ascii="Times New Roman" w:hAnsi="Times New Roman"/>
          <w:sz w:val="24"/>
          <w:szCs w:val="24"/>
        </w:rPr>
        <w:t xml:space="preserve"> called C</w:t>
      </w:r>
      <w:r w:rsidR="00D274AD">
        <w:rPr>
          <w:rFonts w:ascii="Times New Roman" w:hAnsi="Times New Roman"/>
          <w:sz w:val="24"/>
          <w:szCs w:val="24"/>
        </w:rPr>
        <w:t>IRS-ciguatera. Theoretically, one</w:t>
      </w:r>
      <w:r>
        <w:rPr>
          <w:rFonts w:ascii="Times New Roman" w:hAnsi="Times New Roman"/>
          <w:sz w:val="24"/>
          <w:szCs w:val="24"/>
        </w:rPr>
        <w:t xml:space="preserve"> could call the syndrome most anything; possibly the syndrome would be codified by a regulatory agency, much as the CDC changed the name, “Pfiesteria health illness syndrome (affecting) humans,” PHISH, for acute and chronic illness caused by exposure to blooms of toxigenic, fish-killing dinoflagellates, including Pfiesteria, to “Possible estuarine-associated syndrome” (PEAS, 11).</w:t>
      </w:r>
    </w:p>
    <w:p w14:paraId="24FA6849" w14:textId="77777777" w:rsidR="0036523A" w:rsidRDefault="0036523A" w:rsidP="00466750">
      <w:pPr>
        <w:pStyle w:val="BodyA"/>
        <w:jc w:val="both"/>
      </w:pPr>
    </w:p>
    <w:p w14:paraId="5C0CB23A" w14:textId="77777777" w:rsidR="008F352C" w:rsidRDefault="008F352C" w:rsidP="00466750">
      <w:pPr>
        <w:pStyle w:val="BodyA"/>
        <w:jc w:val="both"/>
      </w:pPr>
      <w:r>
        <w:rPr>
          <w:rFonts w:ascii="Times New Roman" w:hAnsi="Times New Roman"/>
          <w:b/>
          <w:bCs/>
          <w:sz w:val="28"/>
          <w:szCs w:val="28"/>
        </w:rPr>
        <w:t>Section 2. Case definition of CIRS</w:t>
      </w:r>
    </w:p>
    <w:p w14:paraId="6E1E4F95" w14:textId="77777777" w:rsidR="008F352C" w:rsidRDefault="008F352C" w:rsidP="00466750">
      <w:pPr>
        <w:pStyle w:val="BodyA"/>
        <w:jc w:val="both"/>
      </w:pPr>
      <w:r>
        <w:rPr>
          <w:rFonts w:ascii="Times New Roman" w:hAnsi="Times New Roman"/>
          <w:sz w:val="24"/>
          <w:szCs w:val="24"/>
        </w:rPr>
        <w:t>In 2008, the US General Accountability Office (GAO) published an overview of publications from US agencies working on the problem of damp indoor buildings (20). 54 studies were noted, showing no coordination of efforts across agency lines. But for the first time, a Federal case definition for what has become CIRS-WDB was proposed.</w:t>
      </w:r>
    </w:p>
    <w:p w14:paraId="1BDFF247" w14:textId="4BFCBB38" w:rsidR="008F352C" w:rsidRPr="0036523A" w:rsidRDefault="008F352C" w:rsidP="0036523A">
      <w:pPr>
        <w:pStyle w:val="ListParagraph"/>
        <w:numPr>
          <w:ilvl w:val="0"/>
          <w:numId w:val="2"/>
        </w:numPr>
        <w:jc w:val="both"/>
        <w:rPr>
          <w:rFonts w:ascii="Times New Roman" w:hAnsi="Times New Roman" w:cs="Times New Roman"/>
        </w:rPr>
      </w:pPr>
      <w:r w:rsidRPr="0036523A">
        <w:rPr>
          <w:rFonts w:ascii="Times New Roman" w:hAnsi="Times New Roman" w:cs="Times New Roman"/>
        </w:rPr>
        <w:t>There must be the potential for exposure to a damp indoor space.</w:t>
      </w:r>
    </w:p>
    <w:p w14:paraId="795E5E0A" w14:textId="77777777" w:rsidR="008F352C" w:rsidRDefault="008F352C" w:rsidP="0036523A">
      <w:pPr>
        <w:pStyle w:val="ListParagraph"/>
        <w:numPr>
          <w:ilvl w:val="0"/>
          <w:numId w:val="2"/>
        </w:numPr>
        <w:jc w:val="both"/>
        <w:rPr>
          <w:rFonts w:ascii="Times New Roman" w:hAnsi="Times New Roman"/>
          <w:sz w:val="24"/>
          <w:szCs w:val="24"/>
        </w:rPr>
      </w:pPr>
      <w:r>
        <w:rPr>
          <w:rFonts w:ascii="Times New Roman" w:hAnsi="Times New Roman"/>
          <w:sz w:val="24"/>
          <w:szCs w:val="24"/>
        </w:rPr>
        <w:lastRenderedPageBreak/>
        <w:t>There must be a multisystem, multi-symptom illness present with symptoms similar to those seen in peer-reviewed publications.</w:t>
      </w:r>
    </w:p>
    <w:p w14:paraId="344A9414" w14:textId="77777777" w:rsidR="008F352C" w:rsidRDefault="008F352C" w:rsidP="0036523A">
      <w:pPr>
        <w:pStyle w:val="ListParagraph"/>
        <w:numPr>
          <w:ilvl w:val="0"/>
          <w:numId w:val="2"/>
        </w:numPr>
        <w:jc w:val="both"/>
        <w:rPr>
          <w:rFonts w:ascii="Times New Roman" w:hAnsi="Times New Roman"/>
          <w:sz w:val="24"/>
          <w:szCs w:val="24"/>
        </w:rPr>
      </w:pPr>
      <w:r>
        <w:rPr>
          <w:rFonts w:ascii="Times New Roman" w:hAnsi="Times New Roman"/>
          <w:sz w:val="24"/>
          <w:szCs w:val="24"/>
        </w:rPr>
        <w:t>There must be laboratory testing results similar to those seen in peer-reviewed, published studies.</w:t>
      </w:r>
    </w:p>
    <w:p w14:paraId="2C1F9337" w14:textId="77777777" w:rsidR="008F352C" w:rsidRDefault="008F352C" w:rsidP="0036523A">
      <w:pPr>
        <w:pStyle w:val="ListParagraph"/>
        <w:numPr>
          <w:ilvl w:val="0"/>
          <w:numId w:val="2"/>
        </w:numPr>
        <w:jc w:val="both"/>
        <w:rPr>
          <w:rFonts w:ascii="Times New Roman" w:hAnsi="Times New Roman"/>
          <w:sz w:val="24"/>
          <w:szCs w:val="24"/>
        </w:rPr>
      </w:pPr>
      <w:r>
        <w:rPr>
          <w:rFonts w:ascii="Times New Roman" w:hAnsi="Times New Roman"/>
          <w:sz w:val="24"/>
          <w:szCs w:val="24"/>
        </w:rPr>
        <w:t>There must be documentation of response to therapy</w:t>
      </w:r>
    </w:p>
    <w:p w14:paraId="525F778D" w14:textId="373C934D" w:rsidR="008F352C" w:rsidRDefault="008F352C" w:rsidP="00466750">
      <w:pPr>
        <w:pStyle w:val="BodyA"/>
        <w:jc w:val="both"/>
      </w:pPr>
      <w:r>
        <w:rPr>
          <w:rFonts w:ascii="Times New Roman" w:hAnsi="Times New Roman"/>
          <w:sz w:val="24"/>
          <w:szCs w:val="24"/>
        </w:rPr>
        <w:t>This definition still is used even though there has been an explosion of publications in the CIRS community noting various objective parameters in wide cli</w:t>
      </w:r>
      <w:r w:rsidR="005D599B">
        <w:rPr>
          <w:rFonts w:ascii="Times New Roman" w:hAnsi="Times New Roman"/>
          <w:sz w:val="24"/>
          <w:szCs w:val="24"/>
        </w:rPr>
        <w:t>nical use now (1</w:t>
      </w:r>
      <w:r>
        <w:rPr>
          <w:rFonts w:ascii="Times New Roman" w:hAnsi="Times New Roman"/>
          <w:sz w:val="24"/>
          <w:szCs w:val="24"/>
        </w:rPr>
        <w:t>).</w:t>
      </w:r>
    </w:p>
    <w:p w14:paraId="337A3C82" w14:textId="539B82A8" w:rsidR="008F352C" w:rsidRDefault="008F352C" w:rsidP="00466750">
      <w:pPr>
        <w:pStyle w:val="BodyA"/>
        <w:jc w:val="both"/>
      </w:pPr>
      <w:r>
        <w:rPr>
          <w:rFonts w:ascii="Times New Roman" w:hAnsi="Times New Roman"/>
          <w:sz w:val="24"/>
          <w:szCs w:val="24"/>
        </w:rPr>
        <w:t>Symptoms are noted to be essentially identical in multiple sources of environmental exposures resulting in CIRS (see Table 1). Of interest is the appearance of clusters of symptoms among the 37 symptoms recorded in CIRS (Table 2). Prese</w:t>
      </w:r>
      <w:r w:rsidR="005D599B">
        <w:rPr>
          <w:rFonts w:ascii="Times New Roman" w:hAnsi="Times New Roman"/>
          <w:sz w:val="24"/>
          <w:szCs w:val="24"/>
        </w:rPr>
        <w:t>nce of eight or more of the 13</w:t>
      </w:r>
      <w:r>
        <w:rPr>
          <w:rFonts w:ascii="Times New Roman" w:hAnsi="Times New Roman"/>
          <w:sz w:val="24"/>
          <w:szCs w:val="24"/>
        </w:rPr>
        <w:t xml:space="preserve"> clusters is virtually diagnostic of an unspecified type of CIRS (US Patent 9,770,170 B2; issued 9/26/2017).</w:t>
      </w:r>
    </w:p>
    <w:p w14:paraId="73700A5C" w14:textId="77777777" w:rsidR="008F352C" w:rsidRDefault="008F352C" w:rsidP="00466750">
      <w:pPr>
        <w:pStyle w:val="BodyA"/>
        <w:jc w:val="both"/>
      </w:pPr>
    </w:p>
    <w:p w14:paraId="3C9FBB6D" w14:textId="5CDBE6B3" w:rsidR="008F352C" w:rsidRDefault="008F352C" w:rsidP="00466750">
      <w:pPr>
        <w:pStyle w:val="BodyA"/>
        <w:jc w:val="both"/>
      </w:pPr>
      <w:r>
        <w:rPr>
          <w:rFonts w:ascii="Times New Roman" w:hAnsi="Times New Roman"/>
          <w:b/>
          <w:bCs/>
          <w:sz w:val="28"/>
          <w:szCs w:val="28"/>
          <w:lang w:val="fr-FR"/>
        </w:rPr>
        <w:t>Section 3</w:t>
      </w:r>
      <w:r w:rsidR="00B63947">
        <w:rPr>
          <w:rFonts w:ascii="Times New Roman" w:hAnsi="Times New Roman"/>
          <w:b/>
          <w:bCs/>
          <w:sz w:val="28"/>
          <w:szCs w:val="28"/>
        </w:rPr>
        <w:t xml:space="preserve">. </w:t>
      </w:r>
      <w:r>
        <w:rPr>
          <w:rFonts w:ascii="Times New Roman" w:hAnsi="Times New Roman"/>
          <w:b/>
          <w:bCs/>
          <w:sz w:val="28"/>
          <w:szCs w:val="28"/>
        </w:rPr>
        <w:t>Before the first office visit</w:t>
      </w:r>
    </w:p>
    <w:p w14:paraId="56E61B5D" w14:textId="504D9302" w:rsidR="008F352C" w:rsidRDefault="008F352C" w:rsidP="00466750">
      <w:pPr>
        <w:pStyle w:val="BodyA"/>
        <w:jc w:val="both"/>
      </w:pPr>
      <w:r>
        <w:rPr>
          <w:rFonts w:ascii="Times New Roman" w:hAnsi="Times New Roman"/>
          <w:sz w:val="24"/>
          <w:szCs w:val="24"/>
        </w:rPr>
        <w:t>Seeing a health care provider as a new patient bri</w:t>
      </w:r>
      <w:r w:rsidR="00D274AD">
        <w:rPr>
          <w:rFonts w:ascii="Times New Roman" w:hAnsi="Times New Roman"/>
          <w:sz w:val="24"/>
          <w:szCs w:val="24"/>
        </w:rPr>
        <w:t>ngs a series of expectations</w:t>
      </w:r>
      <w:r w:rsidR="00F87773">
        <w:rPr>
          <w:rFonts w:ascii="Times New Roman" w:hAnsi="Times New Roman"/>
          <w:sz w:val="24"/>
          <w:szCs w:val="24"/>
        </w:rPr>
        <w:t xml:space="preserve"> of standard medical practice process</w:t>
      </w:r>
      <w:r w:rsidR="00D274AD">
        <w:rPr>
          <w:rFonts w:ascii="Times New Roman" w:hAnsi="Times New Roman"/>
          <w:sz w:val="24"/>
          <w:szCs w:val="24"/>
        </w:rPr>
        <w:t>. Forms will be</w:t>
      </w:r>
      <w:r>
        <w:rPr>
          <w:rFonts w:ascii="Times New Roman" w:hAnsi="Times New Roman"/>
          <w:sz w:val="24"/>
          <w:szCs w:val="24"/>
        </w:rPr>
        <w:t xml:space="preserve"> fill</w:t>
      </w:r>
      <w:r w:rsidR="00D274AD">
        <w:rPr>
          <w:rFonts w:ascii="Times New Roman" w:hAnsi="Times New Roman"/>
          <w:sz w:val="24"/>
          <w:szCs w:val="24"/>
        </w:rPr>
        <w:t>ed out, insurance data recorded</w:t>
      </w:r>
      <w:r>
        <w:rPr>
          <w:rFonts w:ascii="Times New Roman" w:hAnsi="Times New Roman"/>
          <w:sz w:val="24"/>
          <w:szCs w:val="24"/>
        </w:rPr>
        <w:t>, HIPAA informat</w:t>
      </w:r>
      <w:r w:rsidR="00D274AD">
        <w:rPr>
          <w:rFonts w:ascii="Times New Roman" w:hAnsi="Times New Roman"/>
          <w:sz w:val="24"/>
          <w:szCs w:val="24"/>
        </w:rPr>
        <w:t xml:space="preserve">ion </w:t>
      </w:r>
      <w:r>
        <w:rPr>
          <w:rFonts w:ascii="Times New Roman" w:hAnsi="Times New Roman"/>
          <w:sz w:val="24"/>
          <w:szCs w:val="24"/>
        </w:rPr>
        <w:t>process</w:t>
      </w:r>
      <w:r w:rsidR="00D274AD">
        <w:rPr>
          <w:rFonts w:ascii="Times New Roman" w:hAnsi="Times New Roman"/>
          <w:sz w:val="24"/>
          <w:szCs w:val="24"/>
        </w:rPr>
        <w:t>ed;</w:t>
      </w:r>
      <w:r>
        <w:rPr>
          <w:rFonts w:ascii="Times New Roman" w:hAnsi="Times New Roman"/>
          <w:sz w:val="24"/>
          <w:szCs w:val="24"/>
        </w:rPr>
        <w:t xml:space="preserve"> office policies, billing information sheets and maybe even an overview of the philosophy of the practice</w:t>
      </w:r>
      <w:r w:rsidR="00D274AD">
        <w:rPr>
          <w:rFonts w:ascii="Times New Roman" w:hAnsi="Times New Roman"/>
          <w:sz w:val="24"/>
          <w:szCs w:val="24"/>
        </w:rPr>
        <w:t xml:space="preserve"> will be reviewed</w:t>
      </w:r>
      <w:r w:rsidR="00F87773">
        <w:rPr>
          <w:rFonts w:ascii="Times New Roman" w:hAnsi="Times New Roman"/>
          <w:sz w:val="24"/>
          <w:szCs w:val="24"/>
        </w:rPr>
        <w:t>. O</w:t>
      </w:r>
      <w:r>
        <w:rPr>
          <w:rFonts w:ascii="Times New Roman" w:hAnsi="Times New Roman"/>
          <w:sz w:val="24"/>
          <w:szCs w:val="24"/>
        </w:rPr>
        <w:t>rgan system-related specialist</w:t>
      </w:r>
      <w:r w:rsidR="00F87773">
        <w:rPr>
          <w:rFonts w:ascii="Times New Roman" w:hAnsi="Times New Roman"/>
          <w:sz w:val="24"/>
          <w:szCs w:val="24"/>
        </w:rPr>
        <w:t>s</w:t>
      </w:r>
      <w:r>
        <w:rPr>
          <w:rFonts w:ascii="Times New Roman" w:hAnsi="Times New Roman"/>
          <w:sz w:val="24"/>
          <w:szCs w:val="24"/>
        </w:rPr>
        <w:t xml:space="preserve"> (heart, lung, GI, neurologist and more) will focus on their areas of expertise; maybe the appointment with a primary care provider might center on treating the patient as a whole person, not a heart, or a lung</w:t>
      </w:r>
      <w:r w:rsidR="00E03810">
        <w:rPr>
          <w:rFonts w:ascii="Times New Roman" w:hAnsi="Times New Roman"/>
          <w:sz w:val="24"/>
          <w:szCs w:val="24"/>
        </w:rPr>
        <w:t>,</w:t>
      </w:r>
      <w:r>
        <w:rPr>
          <w:rFonts w:ascii="Times New Roman" w:hAnsi="Times New Roman"/>
          <w:sz w:val="24"/>
          <w:szCs w:val="24"/>
        </w:rPr>
        <w:t xml:space="preserve"> or a colon in isolation.</w:t>
      </w:r>
    </w:p>
    <w:p w14:paraId="54B4A5A9" w14:textId="2737432A" w:rsidR="008F352C" w:rsidRDefault="008F352C" w:rsidP="00466750">
      <w:pPr>
        <w:pStyle w:val="BodyA"/>
        <w:spacing w:after="0"/>
        <w:jc w:val="both"/>
      </w:pPr>
      <w:r>
        <w:rPr>
          <w:rFonts w:ascii="Times New Roman" w:hAnsi="Times New Roman"/>
          <w:sz w:val="24"/>
          <w:szCs w:val="24"/>
        </w:rPr>
        <w:t>CIRS provi</w:t>
      </w:r>
      <w:r w:rsidR="00F87773">
        <w:rPr>
          <w:rFonts w:ascii="Times New Roman" w:hAnsi="Times New Roman"/>
          <w:sz w:val="24"/>
          <w:szCs w:val="24"/>
        </w:rPr>
        <w:t>ders are going to approach first office visits</w:t>
      </w:r>
      <w:r>
        <w:rPr>
          <w:rFonts w:ascii="Times New Roman" w:hAnsi="Times New Roman"/>
          <w:sz w:val="24"/>
          <w:szCs w:val="24"/>
        </w:rPr>
        <w:t xml:space="preserve"> differently. Based on the experience of thousands of initial office visits with CIRS providers </w:t>
      </w:r>
      <w:r w:rsidR="00F87773">
        <w:rPr>
          <w:rFonts w:ascii="Times New Roman" w:hAnsi="Times New Roman"/>
          <w:sz w:val="24"/>
          <w:szCs w:val="24"/>
        </w:rPr>
        <w:t>it is likely that patients will have failed to find improvement from</w:t>
      </w:r>
      <w:r>
        <w:rPr>
          <w:rFonts w:ascii="Times New Roman" w:hAnsi="Times New Roman"/>
          <w:sz w:val="24"/>
          <w:szCs w:val="24"/>
        </w:rPr>
        <w:t xml:space="preserve"> least 10 physicians before, at least one of whom was a psychiatrist. None made any delineat</w:t>
      </w:r>
      <w:r w:rsidR="00F87773">
        <w:rPr>
          <w:rFonts w:ascii="Times New Roman" w:hAnsi="Times New Roman"/>
          <w:sz w:val="24"/>
          <w:szCs w:val="24"/>
        </w:rPr>
        <w:t>ion of the abnormalities in</w:t>
      </w:r>
      <w:r>
        <w:rPr>
          <w:rFonts w:ascii="Times New Roman" w:hAnsi="Times New Roman"/>
          <w:sz w:val="24"/>
          <w:szCs w:val="24"/>
        </w:rPr>
        <w:t xml:space="preserve"> physiology, but instead each has </w:t>
      </w:r>
      <w:r w:rsidR="00A27B20">
        <w:rPr>
          <w:rFonts w:ascii="Times New Roman" w:hAnsi="Times New Roman"/>
          <w:sz w:val="24"/>
          <w:szCs w:val="24"/>
        </w:rPr>
        <w:t xml:space="preserve">often </w:t>
      </w:r>
      <w:r>
        <w:rPr>
          <w:rFonts w:ascii="Times New Roman" w:hAnsi="Times New Roman"/>
          <w:sz w:val="24"/>
          <w:szCs w:val="24"/>
        </w:rPr>
        <w:t>made</w:t>
      </w:r>
      <w:r w:rsidR="00A27B20">
        <w:rPr>
          <w:rFonts w:ascii="Times New Roman" w:hAnsi="Times New Roman"/>
          <w:sz w:val="24"/>
          <w:szCs w:val="24"/>
        </w:rPr>
        <w:t xml:space="preserve"> a </w:t>
      </w:r>
      <w:r w:rsidR="00F87773">
        <w:rPr>
          <w:rFonts w:ascii="Times New Roman" w:hAnsi="Times New Roman"/>
          <w:sz w:val="24"/>
          <w:szCs w:val="24"/>
        </w:rPr>
        <w:t>diagnosis</w:t>
      </w:r>
      <w:r w:rsidR="00A27B20">
        <w:rPr>
          <w:rFonts w:ascii="Times New Roman" w:hAnsi="Times New Roman"/>
          <w:sz w:val="24"/>
          <w:szCs w:val="24"/>
        </w:rPr>
        <w:t xml:space="preserve"> unsupported by objective</w:t>
      </w:r>
      <w:r w:rsidR="00F87773">
        <w:rPr>
          <w:rFonts w:ascii="Times New Roman" w:hAnsi="Times New Roman"/>
          <w:sz w:val="24"/>
          <w:szCs w:val="24"/>
        </w:rPr>
        <w:t xml:space="preserve"> biomarkers.</w:t>
      </w:r>
      <w:r>
        <w:rPr>
          <w:rFonts w:ascii="Times New Roman" w:hAnsi="Times New Roman"/>
          <w:sz w:val="24"/>
          <w:szCs w:val="24"/>
        </w:rPr>
        <w:t xml:space="preserve"> </w:t>
      </w:r>
    </w:p>
    <w:p w14:paraId="31442D4C" w14:textId="77777777" w:rsidR="008F352C" w:rsidRDefault="008F352C" w:rsidP="00466750">
      <w:pPr>
        <w:pStyle w:val="BodyA"/>
        <w:spacing w:after="0"/>
        <w:jc w:val="both"/>
        <w:rPr>
          <w:rFonts w:ascii="Times New Roman" w:hAnsi="Times New Roman"/>
          <w:sz w:val="24"/>
          <w:szCs w:val="24"/>
        </w:rPr>
      </w:pPr>
    </w:p>
    <w:p w14:paraId="1F8A7B7A" w14:textId="24FB4CA3" w:rsidR="008F352C" w:rsidRDefault="008F352C" w:rsidP="00466750">
      <w:pPr>
        <w:pStyle w:val="BodyA"/>
        <w:spacing w:after="0"/>
        <w:jc w:val="both"/>
      </w:pPr>
      <w:r>
        <w:rPr>
          <w:rFonts w:ascii="Times New Roman" w:hAnsi="Times New Roman"/>
          <w:sz w:val="24"/>
          <w:szCs w:val="24"/>
        </w:rPr>
        <w:t>Review of past medical records remains the most important initial duty of the CIRS provider to the patient. The patient, in turn, must show due diligence to provide the provider with every relevant document. When the work involved in providing a thorough cop</w:t>
      </w:r>
      <w:r w:rsidR="00A27B20">
        <w:rPr>
          <w:rFonts w:ascii="Times New Roman" w:hAnsi="Times New Roman"/>
          <w:sz w:val="24"/>
          <w:szCs w:val="24"/>
        </w:rPr>
        <w:t>y of records is too onerous, a reasonable suggestion is to postpone</w:t>
      </w:r>
      <w:r>
        <w:rPr>
          <w:rFonts w:ascii="Times New Roman" w:hAnsi="Times New Roman"/>
          <w:sz w:val="24"/>
          <w:szCs w:val="24"/>
        </w:rPr>
        <w:t xml:space="preserve"> t</w:t>
      </w:r>
      <w:r w:rsidR="00A27B20">
        <w:rPr>
          <w:rFonts w:ascii="Times New Roman" w:hAnsi="Times New Roman"/>
          <w:sz w:val="24"/>
          <w:szCs w:val="24"/>
        </w:rPr>
        <w:t>he initial visit. R</w:t>
      </w:r>
      <w:r>
        <w:rPr>
          <w:rFonts w:ascii="Times New Roman" w:hAnsi="Times New Roman"/>
          <w:sz w:val="24"/>
          <w:szCs w:val="24"/>
        </w:rPr>
        <w:t>egardless of motivation to get better, many CIRS patients do not have reli</w:t>
      </w:r>
      <w:r w:rsidR="00DB6617">
        <w:rPr>
          <w:rFonts w:ascii="Times New Roman" w:hAnsi="Times New Roman"/>
          <w:sz w:val="24"/>
          <w:szCs w:val="24"/>
        </w:rPr>
        <w:t>able recall of an exposure time-</w:t>
      </w:r>
      <w:r>
        <w:rPr>
          <w:rFonts w:ascii="Times New Roman" w:hAnsi="Times New Roman"/>
          <w:sz w:val="24"/>
          <w:szCs w:val="24"/>
        </w:rPr>
        <w:t>line, symptom time</w:t>
      </w:r>
      <w:r w:rsidR="00DB6617">
        <w:rPr>
          <w:rFonts w:ascii="Times New Roman" w:hAnsi="Times New Roman"/>
          <w:sz w:val="24"/>
          <w:szCs w:val="24"/>
        </w:rPr>
        <w:t>-</w:t>
      </w:r>
      <w:r>
        <w:rPr>
          <w:rFonts w:ascii="Times New Roman" w:hAnsi="Times New Roman"/>
          <w:sz w:val="24"/>
          <w:szCs w:val="24"/>
        </w:rPr>
        <w:t>line and medication time</w:t>
      </w:r>
      <w:r w:rsidR="00DB6617">
        <w:rPr>
          <w:rFonts w:ascii="Times New Roman" w:hAnsi="Times New Roman"/>
          <w:sz w:val="24"/>
          <w:szCs w:val="24"/>
        </w:rPr>
        <w:t>-</w:t>
      </w:r>
      <w:r>
        <w:rPr>
          <w:rFonts w:ascii="Times New Roman" w:hAnsi="Times New Roman"/>
          <w:sz w:val="24"/>
          <w:szCs w:val="24"/>
        </w:rPr>
        <w:t xml:space="preserve">line (including supplements and all anti-fungals, even topicals). Laboratory testing often involves “cash-only labs” which </w:t>
      </w:r>
      <w:r w:rsidR="00914146">
        <w:rPr>
          <w:rFonts w:ascii="Times New Roman" w:hAnsi="Times New Roman"/>
          <w:sz w:val="24"/>
          <w:szCs w:val="24"/>
        </w:rPr>
        <w:t>may be</w:t>
      </w:r>
      <w:r>
        <w:rPr>
          <w:rFonts w:ascii="Times New Roman" w:hAnsi="Times New Roman"/>
          <w:sz w:val="24"/>
          <w:szCs w:val="24"/>
        </w:rPr>
        <w:t xml:space="preserve"> </w:t>
      </w:r>
      <w:r w:rsidR="00914146">
        <w:rPr>
          <w:rFonts w:ascii="Times New Roman" w:hAnsi="Times New Roman"/>
          <w:sz w:val="24"/>
          <w:szCs w:val="24"/>
        </w:rPr>
        <w:t xml:space="preserve">not </w:t>
      </w:r>
      <w:r>
        <w:rPr>
          <w:rFonts w:ascii="Times New Roman" w:hAnsi="Times New Roman"/>
          <w:sz w:val="24"/>
          <w:szCs w:val="24"/>
        </w:rPr>
        <w:t>rigorous. Frequently, the basis for clinical decision making is inadequately supported. Assumptions and frank guesses are rife: these have no role in CIRS case management.</w:t>
      </w:r>
    </w:p>
    <w:p w14:paraId="1EAFBA02" w14:textId="77777777" w:rsidR="008F352C" w:rsidRDefault="008F352C" w:rsidP="00466750">
      <w:pPr>
        <w:pStyle w:val="BodyA"/>
        <w:spacing w:after="0"/>
        <w:jc w:val="both"/>
      </w:pPr>
    </w:p>
    <w:p w14:paraId="7AE43AD9" w14:textId="6C9F74E1" w:rsidR="008F352C" w:rsidRDefault="008F352C" w:rsidP="00466750">
      <w:pPr>
        <w:pStyle w:val="BodyA"/>
        <w:spacing w:after="0"/>
        <w:jc w:val="both"/>
      </w:pPr>
      <w:r>
        <w:rPr>
          <w:rFonts w:ascii="Times New Roman" w:hAnsi="Times New Roman"/>
          <w:sz w:val="24"/>
          <w:szCs w:val="24"/>
        </w:rPr>
        <w:t>Patients often will insist that their symptom</w:t>
      </w:r>
      <w:r w:rsidR="00EC5D61">
        <w:rPr>
          <w:rFonts w:ascii="Times New Roman" w:hAnsi="Times New Roman"/>
          <w:sz w:val="24"/>
          <w:szCs w:val="24"/>
        </w:rPr>
        <w:t>-</w:t>
      </w:r>
      <w:r>
        <w:rPr>
          <w:rFonts w:ascii="Times New Roman" w:hAnsi="Times New Roman"/>
          <w:sz w:val="24"/>
          <w:szCs w:val="24"/>
        </w:rPr>
        <w:t>recall and self-based diagnosis is inherently reliable.</w:t>
      </w:r>
      <w:r w:rsidR="00DB6617">
        <w:rPr>
          <w:rFonts w:ascii="Times New Roman" w:hAnsi="Times New Roman"/>
          <w:sz w:val="24"/>
          <w:szCs w:val="24"/>
        </w:rPr>
        <w:t xml:space="preserve"> (As an example, how do CIRS health care provider</w:t>
      </w:r>
      <w:r>
        <w:rPr>
          <w:rFonts w:ascii="Times New Roman" w:hAnsi="Times New Roman"/>
          <w:sz w:val="24"/>
          <w:szCs w:val="24"/>
        </w:rPr>
        <w:t xml:space="preserve">s analyze chief complaints like, “I get a spasm in my kidneys when my brain inflammation acts up.”) Symptoms of CIRS vary from day to day and are subject to unnoticed environmental exposures. Unfortunately, given the 90% + incidence of cognitive impairment in CIRS, symptoms lasting </w:t>
      </w:r>
      <w:r w:rsidR="000F0112">
        <w:rPr>
          <w:rFonts w:ascii="Times New Roman" w:hAnsi="Times New Roman"/>
          <w:sz w:val="24"/>
          <w:szCs w:val="24"/>
        </w:rPr>
        <w:t xml:space="preserve">more than </w:t>
      </w:r>
      <w:r>
        <w:rPr>
          <w:rFonts w:ascii="Times New Roman" w:hAnsi="Times New Roman"/>
          <w:sz w:val="24"/>
          <w:szCs w:val="24"/>
        </w:rPr>
        <w:t xml:space="preserve">a few months </w:t>
      </w:r>
      <w:r w:rsidR="000F0112">
        <w:rPr>
          <w:rFonts w:ascii="Times New Roman" w:hAnsi="Times New Roman"/>
          <w:sz w:val="24"/>
          <w:szCs w:val="24"/>
        </w:rPr>
        <w:t>a</w:t>
      </w:r>
      <w:r>
        <w:rPr>
          <w:rFonts w:ascii="Times New Roman" w:hAnsi="Times New Roman"/>
          <w:sz w:val="24"/>
          <w:szCs w:val="24"/>
        </w:rPr>
        <w:t>re usually lost in time lines</w:t>
      </w:r>
      <w:r w:rsidR="000F0112">
        <w:rPr>
          <w:rFonts w:ascii="Times New Roman" w:hAnsi="Times New Roman"/>
          <w:sz w:val="24"/>
          <w:szCs w:val="24"/>
        </w:rPr>
        <w:t xml:space="preserve"> as the illness continues.</w:t>
      </w:r>
    </w:p>
    <w:p w14:paraId="49B65697" w14:textId="77777777" w:rsidR="000F0112" w:rsidRDefault="000F0112" w:rsidP="00466750">
      <w:pPr>
        <w:pStyle w:val="BodyA"/>
        <w:spacing w:after="0"/>
        <w:jc w:val="both"/>
      </w:pPr>
    </w:p>
    <w:p w14:paraId="20B28AC0" w14:textId="77777777" w:rsidR="008F352C" w:rsidRDefault="008F352C" w:rsidP="00466750">
      <w:pPr>
        <w:pStyle w:val="BodyA"/>
        <w:jc w:val="both"/>
      </w:pPr>
      <w:r>
        <w:rPr>
          <w:rFonts w:ascii="Times New Roman" w:hAnsi="Times New Roman"/>
          <w:sz w:val="24"/>
          <w:szCs w:val="24"/>
        </w:rPr>
        <w:t>An additional problem for the CIRS provider is the demand for a “hurry-up” appointment. There can be no hurry-up when records must be reviewed carefully!</w:t>
      </w:r>
    </w:p>
    <w:p w14:paraId="7C819B39" w14:textId="2807CE7C" w:rsidR="008F352C" w:rsidRDefault="00A27B20" w:rsidP="00466750">
      <w:pPr>
        <w:pStyle w:val="BodyA"/>
        <w:jc w:val="both"/>
      </w:pPr>
      <w:r>
        <w:rPr>
          <w:rFonts w:ascii="Times New Roman" w:hAnsi="Times New Roman"/>
          <w:sz w:val="24"/>
          <w:szCs w:val="24"/>
        </w:rPr>
        <w:t>Give the</w:t>
      </w:r>
      <w:r w:rsidR="00DB6617">
        <w:rPr>
          <w:rFonts w:ascii="Times New Roman" w:hAnsi="Times New Roman"/>
          <w:sz w:val="24"/>
          <w:szCs w:val="24"/>
        </w:rPr>
        <w:t xml:space="preserve"> CIRS doctor</w:t>
      </w:r>
      <w:r w:rsidR="008F352C">
        <w:rPr>
          <w:rFonts w:ascii="Times New Roman" w:hAnsi="Times New Roman"/>
          <w:sz w:val="24"/>
          <w:szCs w:val="24"/>
        </w:rPr>
        <w:t xml:space="preserve"> time</w:t>
      </w:r>
      <w:r w:rsidR="005D599B">
        <w:rPr>
          <w:rFonts w:ascii="Times New Roman" w:hAnsi="Times New Roman"/>
          <w:sz w:val="24"/>
          <w:szCs w:val="24"/>
        </w:rPr>
        <w:t xml:space="preserve"> to</w:t>
      </w:r>
      <w:r w:rsidR="008F352C">
        <w:rPr>
          <w:rFonts w:ascii="Times New Roman" w:hAnsi="Times New Roman"/>
          <w:sz w:val="24"/>
          <w:szCs w:val="24"/>
        </w:rPr>
        <w:t xml:space="preserve"> read every</w:t>
      </w:r>
      <w:r>
        <w:rPr>
          <w:rFonts w:ascii="Times New Roman" w:hAnsi="Times New Roman"/>
          <w:sz w:val="24"/>
          <w:szCs w:val="24"/>
        </w:rPr>
        <w:t xml:space="preserve"> page of the</w:t>
      </w:r>
      <w:r w:rsidR="008F352C">
        <w:rPr>
          <w:rFonts w:ascii="Times New Roman" w:hAnsi="Times New Roman"/>
          <w:sz w:val="24"/>
          <w:szCs w:val="24"/>
        </w:rPr>
        <w:t xml:space="preserve"> medical record. Organize the record, get rid of duplicates, make it chronological but do not leave anything out. Organized summaries make some sense but not at the risk of editing by the patient. In the</w:t>
      </w:r>
      <w:r>
        <w:rPr>
          <w:rFonts w:ascii="Times New Roman" w:hAnsi="Times New Roman"/>
          <w:sz w:val="24"/>
          <w:szCs w:val="24"/>
        </w:rPr>
        <w:t xml:space="preserve"> </w:t>
      </w:r>
      <w:r w:rsidR="00914146">
        <w:rPr>
          <w:rFonts w:ascii="Times New Roman" w:hAnsi="Times New Roman"/>
          <w:sz w:val="24"/>
          <w:szCs w:val="24"/>
        </w:rPr>
        <w:t xml:space="preserve">example of </w:t>
      </w:r>
      <w:r>
        <w:rPr>
          <w:rFonts w:ascii="Times New Roman" w:hAnsi="Times New Roman"/>
          <w:sz w:val="24"/>
          <w:szCs w:val="24"/>
        </w:rPr>
        <w:t xml:space="preserve">5000 pages </w:t>
      </w:r>
      <w:r w:rsidR="008F352C">
        <w:rPr>
          <w:rFonts w:ascii="Times New Roman" w:hAnsi="Times New Roman"/>
          <w:sz w:val="24"/>
          <w:szCs w:val="24"/>
        </w:rPr>
        <w:t>of reco</w:t>
      </w:r>
      <w:r>
        <w:rPr>
          <w:rFonts w:ascii="Times New Roman" w:hAnsi="Times New Roman"/>
          <w:sz w:val="24"/>
          <w:szCs w:val="24"/>
        </w:rPr>
        <w:t>rds usually</w:t>
      </w:r>
      <w:r w:rsidR="00914146">
        <w:rPr>
          <w:rFonts w:ascii="Times New Roman" w:hAnsi="Times New Roman"/>
          <w:sz w:val="24"/>
          <w:szCs w:val="24"/>
        </w:rPr>
        <w:t xml:space="preserve"> there</w:t>
      </w:r>
      <w:r>
        <w:rPr>
          <w:rFonts w:ascii="Times New Roman" w:hAnsi="Times New Roman"/>
          <w:sz w:val="24"/>
          <w:szCs w:val="24"/>
        </w:rPr>
        <w:t xml:space="preserve"> </w:t>
      </w:r>
      <w:r w:rsidR="008F352C">
        <w:rPr>
          <w:rFonts w:ascii="Times New Roman" w:hAnsi="Times New Roman"/>
          <w:sz w:val="24"/>
          <w:szCs w:val="24"/>
        </w:rPr>
        <w:t>will be one or two</w:t>
      </w:r>
      <w:r>
        <w:rPr>
          <w:rFonts w:ascii="Times New Roman" w:hAnsi="Times New Roman"/>
          <w:sz w:val="24"/>
          <w:szCs w:val="24"/>
        </w:rPr>
        <w:t xml:space="preserve"> pages that have the answers persistently ill patients have sought.</w:t>
      </w:r>
    </w:p>
    <w:p w14:paraId="132CD1BF" w14:textId="7D2FED81" w:rsidR="008F352C" w:rsidRDefault="00A27B20" w:rsidP="00466750">
      <w:pPr>
        <w:pStyle w:val="BodyA"/>
        <w:jc w:val="both"/>
      </w:pPr>
      <w:r>
        <w:rPr>
          <w:rFonts w:ascii="Times New Roman" w:hAnsi="Times New Roman"/>
          <w:sz w:val="24"/>
          <w:szCs w:val="24"/>
        </w:rPr>
        <w:t xml:space="preserve">One </w:t>
      </w:r>
      <w:r w:rsidR="008F352C">
        <w:rPr>
          <w:rFonts w:ascii="Times New Roman" w:hAnsi="Times New Roman"/>
          <w:sz w:val="24"/>
          <w:szCs w:val="24"/>
        </w:rPr>
        <w:t>might have become frustrated with impersonal, community-based pro</w:t>
      </w:r>
      <w:r w:rsidR="00DB6617">
        <w:rPr>
          <w:rFonts w:ascii="Times New Roman" w:hAnsi="Times New Roman"/>
          <w:sz w:val="24"/>
          <w:szCs w:val="24"/>
        </w:rPr>
        <w:t>viders, so-called mainstream physicians</w:t>
      </w:r>
      <w:r w:rsidR="008F352C">
        <w:rPr>
          <w:rFonts w:ascii="Times New Roman" w:hAnsi="Times New Roman"/>
          <w:sz w:val="24"/>
          <w:szCs w:val="24"/>
        </w:rPr>
        <w:t>, who gu</w:t>
      </w:r>
      <w:r>
        <w:rPr>
          <w:rFonts w:ascii="Times New Roman" w:hAnsi="Times New Roman"/>
          <w:sz w:val="24"/>
          <w:szCs w:val="24"/>
        </w:rPr>
        <w:t>essed at what was wrong</w:t>
      </w:r>
      <w:r w:rsidR="008F352C">
        <w:rPr>
          <w:rFonts w:ascii="Times New Roman" w:hAnsi="Times New Roman"/>
          <w:sz w:val="24"/>
          <w:szCs w:val="24"/>
        </w:rPr>
        <w:t>,</w:t>
      </w:r>
      <w:r>
        <w:rPr>
          <w:rFonts w:ascii="Times New Roman" w:hAnsi="Times New Roman"/>
          <w:sz w:val="24"/>
          <w:szCs w:val="24"/>
        </w:rPr>
        <w:t xml:space="preserve"> but really did not know, so some patients</w:t>
      </w:r>
      <w:r w:rsidR="008F352C">
        <w:rPr>
          <w:rFonts w:ascii="Times New Roman" w:hAnsi="Times New Roman"/>
          <w:sz w:val="24"/>
          <w:szCs w:val="24"/>
        </w:rPr>
        <w:t xml:space="preserve"> might have “</w:t>
      </w:r>
      <w:r w:rsidR="008F352C">
        <w:rPr>
          <w:rFonts w:ascii="Times New Roman" w:hAnsi="Times New Roman"/>
          <w:sz w:val="24"/>
          <w:szCs w:val="24"/>
          <w:lang w:val="it-IT"/>
        </w:rPr>
        <w:t>gone alternative.</w:t>
      </w:r>
      <w:r>
        <w:rPr>
          <w:rFonts w:ascii="Times New Roman" w:hAnsi="Times New Roman"/>
          <w:sz w:val="24"/>
          <w:szCs w:val="24"/>
        </w:rPr>
        <w:t>” Maybe a CIRS</w:t>
      </w:r>
      <w:r w:rsidR="008F352C">
        <w:rPr>
          <w:rFonts w:ascii="Times New Roman" w:hAnsi="Times New Roman"/>
          <w:sz w:val="24"/>
          <w:szCs w:val="24"/>
        </w:rPr>
        <w:t xml:space="preserve"> met some caring doc</w:t>
      </w:r>
      <w:r w:rsidR="00DB6617">
        <w:rPr>
          <w:rFonts w:ascii="Times New Roman" w:hAnsi="Times New Roman"/>
          <w:sz w:val="24"/>
          <w:szCs w:val="24"/>
        </w:rPr>
        <w:t>tor</w:t>
      </w:r>
      <w:r>
        <w:rPr>
          <w:rFonts w:ascii="Times New Roman" w:hAnsi="Times New Roman"/>
          <w:sz w:val="24"/>
          <w:szCs w:val="24"/>
        </w:rPr>
        <w:t>s outside the mainstream, but maybe others met predators who sold</w:t>
      </w:r>
      <w:r w:rsidR="008F352C">
        <w:rPr>
          <w:rFonts w:ascii="Times New Roman" w:hAnsi="Times New Roman"/>
          <w:sz w:val="24"/>
          <w:szCs w:val="24"/>
        </w:rPr>
        <w:t xml:space="preserve"> snake oil in modern trappings. Once again, guesses, assumptions and lack of support from peer-reviewed literature will dominate</w:t>
      </w:r>
      <w:r>
        <w:rPr>
          <w:rFonts w:ascii="Times New Roman" w:hAnsi="Times New Roman"/>
          <w:sz w:val="24"/>
          <w:szCs w:val="24"/>
        </w:rPr>
        <w:t xml:space="preserve"> the</w:t>
      </w:r>
      <w:r w:rsidR="008F352C">
        <w:rPr>
          <w:rFonts w:ascii="Times New Roman" w:hAnsi="Times New Roman"/>
          <w:sz w:val="24"/>
          <w:szCs w:val="24"/>
        </w:rPr>
        <w:t xml:space="preserve"> medical record. </w:t>
      </w:r>
    </w:p>
    <w:p w14:paraId="39773F90" w14:textId="62578E60" w:rsidR="008F352C" w:rsidRPr="002D3A6E" w:rsidRDefault="008F352C" w:rsidP="00466750">
      <w:pPr>
        <w:pStyle w:val="BodyA"/>
        <w:jc w:val="both"/>
        <w:rPr>
          <w:rFonts w:ascii="Times New Roman" w:hAnsi="Times New Roman" w:cs="Times New Roman"/>
          <w:sz w:val="24"/>
          <w:szCs w:val="24"/>
        </w:rPr>
      </w:pPr>
      <w:r>
        <w:rPr>
          <w:rFonts w:ascii="Times New Roman" w:hAnsi="Times New Roman"/>
          <w:sz w:val="24"/>
          <w:szCs w:val="24"/>
        </w:rPr>
        <w:t xml:space="preserve">The first step in diagnosis of CIRS is to know what has been said about the patient. Ignore the </w:t>
      </w:r>
      <w:r w:rsidRPr="00B63947">
        <w:rPr>
          <w:rFonts w:ascii="Times New Roman" w:hAnsi="Times New Roman" w:cs="Times New Roman"/>
          <w:sz w:val="24"/>
          <w:szCs w:val="24"/>
        </w:rPr>
        <w:t>snide innuendo o</w:t>
      </w:r>
      <w:r w:rsidR="00A27B20">
        <w:rPr>
          <w:rFonts w:ascii="Times New Roman" w:hAnsi="Times New Roman" w:cs="Times New Roman"/>
          <w:sz w:val="24"/>
          <w:szCs w:val="24"/>
        </w:rPr>
        <w:t>f, “It’s all in your head.” A</w:t>
      </w:r>
      <w:r w:rsidRPr="00B63947">
        <w:rPr>
          <w:rFonts w:ascii="Times New Roman" w:hAnsi="Times New Roman" w:cs="Times New Roman"/>
          <w:sz w:val="24"/>
          <w:szCs w:val="24"/>
        </w:rPr>
        <w:t xml:space="preserve"> NeuroQuant</w:t>
      </w:r>
      <w:r w:rsidRPr="00B63947">
        <w:rPr>
          <w:rFonts w:ascii="Times New Roman" w:hAnsi="Times New Roman" w:cs="Times New Roman"/>
          <w:sz w:val="24"/>
          <w:szCs w:val="24"/>
          <w:vertAlign w:val="superscript"/>
        </w:rPr>
        <w:t>®</w:t>
      </w:r>
      <w:r w:rsidRPr="00B63947">
        <w:rPr>
          <w:rFonts w:ascii="Times New Roman" w:hAnsi="Times New Roman" w:cs="Times New Roman"/>
          <w:sz w:val="24"/>
          <w:szCs w:val="24"/>
        </w:rPr>
        <w:t xml:space="preserve"> will show what is wrong cognitively. Ignore the fibromyalgia diagnosis and the</w:t>
      </w:r>
      <w:r w:rsidR="00A27B20">
        <w:rPr>
          <w:rFonts w:ascii="Times New Roman" w:hAnsi="Times New Roman" w:cs="Times New Roman"/>
          <w:sz w:val="24"/>
          <w:szCs w:val="24"/>
        </w:rPr>
        <w:t xml:space="preserve"> gabapentin prescription. The </w:t>
      </w:r>
      <w:r w:rsidRPr="00B63947">
        <w:rPr>
          <w:rFonts w:ascii="Times New Roman" w:hAnsi="Times New Roman" w:cs="Times New Roman"/>
          <w:sz w:val="24"/>
          <w:szCs w:val="24"/>
        </w:rPr>
        <w:t>lab results tracking CIRS and transcriptomic findings are the</w:t>
      </w:r>
      <w:r w:rsidR="00A27B20">
        <w:rPr>
          <w:rFonts w:ascii="Times New Roman" w:hAnsi="Times New Roman" w:cs="Times New Roman"/>
          <w:sz w:val="24"/>
          <w:szCs w:val="24"/>
        </w:rPr>
        <w:t xml:space="preserve"> light in the darkness. Once one</w:t>
      </w:r>
      <w:r w:rsidRPr="00B63947">
        <w:rPr>
          <w:rFonts w:ascii="Times New Roman" w:hAnsi="Times New Roman" w:cs="Times New Roman"/>
          <w:sz w:val="24"/>
          <w:szCs w:val="24"/>
        </w:rPr>
        <w:t xml:space="preserve"> see</w:t>
      </w:r>
      <w:r w:rsidR="00A27B20">
        <w:rPr>
          <w:rFonts w:ascii="Times New Roman" w:hAnsi="Times New Roman" w:cs="Times New Roman"/>
          <w:sz w:val="24"/>
          <w:szCs w:val="24"/>
        </w:rPr>
        <w:t>s</w:t>
      </w:r>
      <w:r w:rsidRPr="00B63947">
        <w:rPr>
          <w:rFonts w:ascii="Times New Roman" w:hAnsi="Times New Roman" w:cs="Times New Roman"/>
          <w:sz w:val="24"/>
          <w:szCs w:val="24"/>
        </w:rPr>
        <w:t xml:space="preserve"> objective, proven, reliabl</w:t>
      </w:r>
      <w:r w:rsidR="00914146">
        <w:rPr>
          <w:rFonts w:ascii="Times New Roman" w:hAnsi="Times New Roman" w:cs="Times New Roman"/>
          <w:sz w:val="24"/>
          <w:szCs w:val="24"/>
        </w:rPr>
        <w:t>e</w:t>
      </w:r>
      <w:r w:rsidRPr="00B63947">
        <w:rPr>
          <w:rFonts w:ascii="Times New Roman" w:hAnsi="Times New Roman" w:cs="Times New Roman"/>
          <w:sz w:val="24"/>
          <w:szCs w:val="24"/>
        </w:rPr>
        <w:t xml:space="preserve"> scientific findings that lead to a</w:t>
      </w:r>
      <w:r w:rsidR="00A27B20">
        <w:rPr>
          <w:rFonts w:ascii="Times New Roman" w:hAnsi="Times New Roman" w:cs="Times New Roman"/>
          <w:sz w:val="24"/>
          <w:szCs w:val="24"/>
        </w:rPr>
        <w:t xml:space="preserve"> proven treatment protocol, a</w:t>
      </w:r>
      <w:r w:rsidRPr="00B63947">
        <w:rPr>
          <w:rFonts w:ascii="Times New Roman" w:hAnsi="Times New Roman" w:cs="Times New Roman"/>
          <w:sz w:val="24"/>
          <w:szCs w:val="24"/>
        </w:rPr>
        <w:t xml:space="preserve"> CIR</w:t>
      </w:r>
      <w:r w:rsidR="00A27B20">
        <w:rPr>
          <w:rFonts w:ascii="Times New Roman" w:hAnsi="Times New Roman" w:cs="Times New Roman"/>
          <w:sz w:val="24"/>
          <w:szCs w:val="24"/>
        </w:rPr>
        <w:t>S provider will usually show the patient</w:t>
      </w:r>
      <w:r w:rsidRPr="00B63947">
        <w:rPr>
          <w:rFonts w:ascii="Times New Roman" w:hAnsi="Times New Roman" w:cs="Times New Roman"/>
          <w:sz w:val="24"/>
          <w:szCs w:val="24"/>
        </w:rPr>
        <w:t xml:space="preserve"> something long-lost: Hope.</w:t>
      </w:r>
    </w:p>
    <w:p w14:paraId="2ECE537A" w14:textId="13F7769D" w:rsidR="008F352C" w:rsidRPr="002D3A6E" w:rsidRDefault="008F352C" w:rsidP="00466750">
      <w:pPr>
        <w:pStyle w:val="BodyA"/>
        <w:jc w:val="both"/>
        <w:rPr>
          <w:rFonts w:ascii="Times New Roman" w:hAnsi="Times New Roman" w:cs="Times New Roman"/>
          <w:sz w:val="24"/>
          <w:szCs w:val="24"/>
        </w:rPr>
      </w:pPr>
      <w:r w:rsidRPr="00B63947">
        <w:rPr>
          <w:rFonts w:ascii="Times New Roman" w:hAnsi="Times New Roman" w:cs="Times New Roman"/>
          <w:sz w:val="24"/>
          <w:szCs w:val="24"/>
        </w:rPr>
        <w:t>Hope is based on data. Hope is based on publi</w:t>
      </w:r>
      <w:r w:rsidR="00DB6617">
        <w:rPr>
          <w:rFonts w:ascii="Times New Roman" w:hAnsi="Times New Roman" w:cs="Times New Roman"/>
          <w:sz w:val="24"/>
          <w:szCs w:val="24"/>
        </w:rPr>
        <w:t>shed work, validated by CIRS physician</w:t>
      </w:r>
      <w:r w:rsidRPr="00B63947">
        <w:rPr>
          <w:rFonts w:ascii="Times New Roman" w:hAnsi="Times New Roman" w:cs="Times New Roman"/>
          <w:sz w:val="24"/>
          <w:szCs w:val="24"/>
        </w:rPr>
        <w:t xml:space="preserve">s over the past </w:t>
      </w:r>
      <w:r w:rsidR="00A27B20">
        <w:rPr>
          <w:rFonts w:ascii="Times New Roman" w:hAnsi="Times New Roman" w:cs="Times New Roman"/>
          <w:sz w:val="24"/>
          <w:szCs w:val="24"/>
        </w:rPr>
        <w:t>22 years. The Hope in CIRS</w:t>
      </w:r>
      <w:r w:rsidRPr="00B63947">
        <w:rPr>
          <w:rFonts w:ascii="Times New Roman" w:hAnsi="Times New Roman" w:cs="Times New Roman"/>
          <w:sz w:val="24"/>
          <w:szCs w:val="24"/>
        </w:rPr>
        <w:t xml:space="preserve"> is supported by favorable Daubert and Frye decisions in courts across the US.</w:t>
      </w:r>
    </w:p>
    <w:p w14:paraId="3C6532D5" w14:textId="4FF02D87" w:rsidR="008F352C" w:rsidRPr="002D3A6E" w:rsidRDefault="00EE0B11" w:rsidP="00466750">
      <w:pPr>
        <w:pStyle w:val="BodyA"/>
        <w:jc w:val="both"/>
        <w:rPr>
          <w:rFonts w:ascii="Times New Roman" w:hAnsi="Times New Roman" w:cs="Times New Roman"/>
          <w:sz w:val="24"/>
          <w:szCs w:val="24"/>
        </w:rPr>
      </w:pPr>
      <w:r>
        <w:rPr>
          <w:rFonts w:ascii="Times New Roman" w:hAnsi="Times New Roman" w:cs="Times New Roman"/>
          <w:sz w:val="24"/>
          <w:szCs w:val="24"/>
        </w:rPr>
        <w:t>Patients</w:t>
      </w:r>
      <w:r w:rsidR="008F352C" w:rsidRPr="00B63947">
        <w:rPr>
          <w:rFonts w:ascii="Times New Roman" w:hAnsi="Times New Roman" w:cs="Times New Roman"/>
          <w:sz w:val="24"/>
          <w:szCs w:val="24"/>
        </w:rPr>
        <w:t xml:space="preserve"> will </w:t>
      </w:r>
      <w:r>
        <w:rPr>
          <w:rFonts w:ascii="Times New Roman" w:hAnsi="Times New Roman" w:cs="Times New Roman"/>
          <w:sz w:val="24"/>
          <w:szCs w:val="24"/>
        </w:rPr>
        <w:t xml:space="preserve">likely be asked to </w:t>
      </w:r>
      <w:r w:rsidR="008F352C" w:rsidRPr="00B63947">
        <w:rPr>
          <w:rFonts w:ascii="Times New Roman" w:hAnsi="Times New Roman" w:cs="Times New Roman"/>
          <w:sz w:val="24"/>
          <w:szCs w:val="24"/>
        </w:rPr>
        <w:t>stop unneeded med</w:t>
      </w:r>
      <w:r w:rsidR="00DB6617">
        <w:rPr>
          <w:rFonts w:ascii="Times New Roman" w:hAnsi="Times New Roman" w:cs="Times New Roman"/>
          <w:sz w:val="24"/>
          <w:szCs w:val="24"/>
        </w:rPr>
        <w:t>ication</w:t>
      </w:r>
      <w:r>
        <w:rPr>
          <w:rFonts w:ascii="Times New Roman" w:hAnsi="Times New Roman" w:cs="Times New Roman"/>
          <w:sz w:val="24"/>
          <w:szCs w:val="24"/>
        </w:rPr>
        <w:t>s immediately. T</w:t>
      </w:r>
      <w:r w:rsidR="008F352C" w:rsidRPr="00B63947">
        <w:rPr>
          <w:rFonts w:ascii="Times New Roman" w:hAnsi="Times New Roman" w:cs="Times New Roman"/>
          <w:sz w:val="24"/>
          <w:szCs w:val="24"/>
        </w:rPr>
        <w:t>hrow the amitriptyline bottles into the “worthless psych nostrum” drawer.</w:t>
      </w:r>
      <w:r>
        <w:rPr>
          <w:rFonts w:ascii="Times New Roman" w:hAnsi="Times New Roman" w:cs="Times New Roman"/>
          <w:sz w:val="24"/>
          <w:szCs w:val="24"/>
        </w:rPr>
        <w:t xml:space="preserve">  E</w:t>
      </w:r>
      <w:r w:rsidR="008F352C" w:rsidRPr="00B63947">
        <w:rPr>
          <w:rFonts w:ascii="Times New Roman" w:hAnsi="Times New Roman" w:cs="Times New Roman"/>
          <w:sz w:val="24"/>
          <w:szCs w:val="24"/>
        </w:rPr>
        <w:t>liminate the</w:t>
      </w:r>
      <w:r>
        <w:rPr>
          <w:rFonts w:ascii="Times New Roman" w:hAnsi="Times New Roman" w:cs="Times New Roman"/>
          <w:sz w:val="24"/>
          <w:szCs w:val="24"/>
        </w:rPr>
        <w:t xml:space="preserve"> unneeded</w:t>
      </w:r>
      <w:r w:rsidR="008F352C" w:rsidRPr="00B63947">
        <w:rPr>
          <w:rFonts w:ascii="Times New Roman" w:hAnsi="Times New Roman" w:cs="Times New Roman"/>
          <w:sz w:val="24"/>
          <w:szCs w:val="24"/>
        </w:rPr>
        <w:t xml:space="preserve"> bags o</w:t>
      </w:r>
      <w:r>
        <w:rPr>
          <w:rFonts w:ascii="Times New Roman" w:hAnsi="Times New Roman" w:cs="Times New Roman"/>
          <w:sz w:val="24"/>
          <w:szCs w:val="24"/>
        </w:rPr>
        <w:t xml:space="preserve">f supplements and antibiotics </w:t>
      </w:r>
      <w:r w:rsidR="00914146">
        <w:rPr>
          <w:rFonts w:ascii="Times New Roman" w:hAnsi="Times New Roman" w:cs="Times New Roman"/>
          <w:sz w:val="24"/>
          <w:szCs w:val="24"/>
        </w:rPr>
        <w:t xml:space="preserve">possibly </w:t>
      </w:r>
      <w:r>
        <w:rPr>
          <w:rFonts w:ascii="Times New Roman" w:hAnsi="Times New Roman" w:cs="Times New Roman"/>
          <w:sz w:val="24"/>
          <w:szCs w:val="24"/>
        </w:rPr>
        <w:t xml:space="preserve">sold to patients </w:t>
      </w:r>
      <w:r w:rsidR="008F352C" w:rsidRPr="00B63947">
        <w:rPr>
          <w:rFonts w:ascii="Times New Roman" w:hAnsi="Times New Roman" w:cs="Times New Roman"/>
          <w:sz w:val="24"/>
          <w:szCs w:val="24"/>
        </w:rPr>
        <w:t>b</w:t>
      </w:r>
      <w:r>
        <w:rPr>
          <w:rFonts w:ascii="Times New Roman" w:hAnsi="Times New Roman" w:cs="Times New Roman"/>
          <w:sz w:val="24"/>
          <w:szCs w:val="24"/>
        </w:rPr>
        <w:t>y those who prescribed them. Patients</w:t>
      </w:r>
      <w:r w:rsidR="008F352C" w:rsidRPr="00B63947">
        <w:rPr>
          <w:rFonts w:ascii="Times New Roman" w:hAnsi="Times New Roman" w:cs="Times New Roman"/>
          <w:sz w:val="24"/>
          <w:szCs w:val="24"/>
        </w:rPr>
        <w:t xml:space="preserve"> will be admonished to stop nasal, oral and intravenous anti-fungals, as they are creating resistant mutant MARCoNS that are already threatening desperately ill infectious disease patients with additional antib</w:t>
      </w:r>
      <w:r>
        <w:rPr>
          <w:rFonts w:ascii="Times New Roman" w:hAnsi="Times New Roman" w:cs="Times New Roman"/>
          <w:sz w:val="24"/>
          <w:szCs w:val="24"/>
        </w:rPr>
        <w:t>i</w:t>
      </w:r>
      <w:r w:rsidR="008F352C" w:rsidRPr="00B63947">
        <w:rPr>
          <w:rFonts w:ascii="Times New Roman" w:hAnsi="Times New Roman" w:cs="Times New Roman"/>
          <w:sz w:val="24"/>
          <w:szCs w:val="24"/>
        </w:rPr>
        <w:t>otic resistances.</w:t>
      </w:r>
    </w:p>
    <w:p w14:paraId="115BE21C" w14:textId="41CEE978" w:rsidR="008F352C" w:rsidRPr="002D3A6E" w:rsidRDefault="00EE0B11" w:rsidP="00466750">
      <w:pPr>
        <w:pStyle w:val="BodyA"/>
        <w:jc w:val="both"/>
        <w:rPr>
          <w:rStyle w:val="None"/>
          <w:rFonts w:ascii="Times New Roman" w:hAnsi="Times New Roman" w:cs="Times New Roman"/>
          <w:sz w:val="24"/>
          <w:szCs w:val="24"/>
        </w:rPr>
      </w:pPr>
      <w:r>
        <w:rPr>
          <w:rFonts w:ascii="Times New Roman" w:hAnsi="Times New Roman" w:cs="Times New Roman"/>
          <w:sz w:val="24"/>
          <w:szCs w:val="24"/>
        </w:rPr>
        <w:t xml:space="preserve">Outside learning will be included; one will probably </w:t>
      </w:r>
      <w:r w:rsidR="008F352C" w:rsidRPr="00B63947">
        <w:rPr>
          <w:rFonts w:ascii="Times New Roman" w:hAnsi="Times New Roman" w:cs="Times New Roman"/>
          <w:sz w:val="24"/>
          <w:szCs w:val="24"/>
        </w:rPr>
        <w:t xml:space="preserve">be instructed to read several hundred pages of documents found (free) on </w:t>
      </w:r>
      <w:hyperlink r:id="rId10" w:history="1">
        <w:r w:rsidR="008F352C" w:rsidRPr="00B63947">
          <w:rPr>
            <w:rStyle w:val="Hyperlink0"/>
            <w:rFonts w:eastAsia="Calibri"/>
            <w:color w:val="auto"/>
          </w:rPr>
          <w:t>www.survivingmold.com</w:t>
        </w:r>
      </w:hyperlink>
      <w:r>
        <w:rPr>
          <w:rStyle w:val="None"/>
          <w:rFonts w:ascii="Times New Roman" w:hAnsi="Times New Roman" w:cs="Times New Roman"/>
          <w:color w:val="auto"/>
          <w:sz w:val="24"/>
          <w:szCs w:val="24"/>
        </w:rPr>
        <w:t>, understanding that few will</w:t>
      </w:r>
      <w:r w:rsidR="008F352C" w:rsidRPr="002D3A6E">
        <w:rPr>
          <w:rStyle w:val="None"/>
          <w:rFonts w:ascii="Times New Roman" w:hAnsi="Times New Roman" w:cs="Times New Roman"/>
          <w:sz w:val="24"/>
          <w:szCs w:val="24"/>
        </w:rPr>
        <w:t xml:space="preserve"> remember everything</w:t>
      </w:r>
      <w:r w:rsidR="00914146">
        <w:rPr>
          <w:rStyle w:val="None"/>
          <w:rFonts w:ascii="Times New Roman" w:hAnsi="Times New Roman" w:cs="Times New Roman"/>
          <w:sz w:val="24"/>
          <w:szCs w:val="24"/>
        </w:rPr>
        <w:t>. Mos</w:t>
      </w:r>
      <w:r w:rsidR="008F352C" w:rsidRPr="002D3A6E">
        <w:rPr>
          <w:rStyle w:val="None"/>
          <w:rFonts w:ascii="Times New Roman" w:hAnsi="Times New Roman" w:cs="Times New Roman"/>
          <w:sz w:val="24"/>
          <w:szCs w:val="24"/>
        </w:rPr>
        <w:t>t CIRS patients have difficulty assimilatin</w:t>
      </w:r>
      <w:r>
        <w:rPr>
          <w:rStyle w:val="None"/>
          <w:rFonts w:ascii="Times New Roman" w:hAnsi="Times New Roman" w:cs="Times New Roman"/>
          <w:sz w:val="24"/>
          <w:szCs w:val="24"/>
        </w:rPr>
        <w:t xml:space="preserve">g new knowledge, but </w:t>
      </w:r>
      <w:r w:rsidR="00914146">
        <w:rPr>
          <w:rStyle w:val="None"/>
          <w:rFonts w:ascii="Times New Roman" w:hAnsi="Times New Roman" w:cs="Times New Roman"/>
          <w:sz w:val="24"/>
          <w:szCs w:val="24"/>
        </w:rPr>
        <w:t>possibly</w:t>
      </w:r>
      <w:r>
        <w:rPr>
          <w:rStyle w:val="None"/>
          <w:rFonts w:ascii="Times New Roman" w:hAnsi="Times New Roman" w:cs="Times New Roman"/>
          <w:sz w:val="24"/>
          <w:szCs w:val="24"/>
        </w:rPr>
        <w:t xml:space="preserve"> </w:t>
      </w:r>
      <w:r w:rsidR="008F352C" w:rsidRPr="002D3A6E">
        <w:rPr>
          <w:rStyle w:val="None"/>
          <w:rFonts w:ascii="Times New Roman" w:hAnsi="Times New Roman" w:cs="Times New Roman"/>
          <w:sz w:val="24"/>
          <w:szCs w:val="24"/>
        </w:rPr>
        <w:t xml:space="preserve">loved ones will read and </w:t>
      </w:r>
      <w:r>
        <w:rPr>
          <w:rStyle w:val="None"/>
          <w:rFonts w:ascii="Times New Roman" w:hAnsi="Times New Roman" w:cs="Times New Roman"/>
          <w:sz w:val="24"/>
          <w:szCs w:val="24"/>
        </w:rPr>
        <w:t>learn more as well. In time, patients</w:t>
      </w:r>
      <w:r w:rsidR="008F352C" w:rsidRPr="002D3A6E">
        <w:rPr>
          <w:rStyle w:val="None"/>
          <w:rFonts w:ascii="Times New Roman" w:hAnsi="Times New Roman" w:cs="Times New Roman"/>
          <w:sz w:val="24"/>
          <w:szCs w:val="24"/>
        </w:rPr>
        <w:t xml:space="preserve"> must become an expert in the ja</w:t>
      </w:r>
      <w:r>
        <w:rPr>
          <w:rStyle w:val="None"/>
          <w:rFonts w:ascii="Times New Roman" w:hAnsi="Times New Roman" w:cs="Times New Roman"/>
          <w:sz w:val="24"/>
          <w:szCs w:val="24"/>
        </w:rPr>
        <w:t>rgon and pathophysiology of CIRS. Why? Simple: the</w:t>
      </w:r>
      <w:r w:rsidR="008F352C" w:rsidRPr="002D3A6E">
        <w:rPr>
          <w:rStyle w:val="None"/>
          <w:rFonts w:ascii="Times New Roman" w:hAnsi="Times New Roman" w:cs="Times New Roman"/>
          <w:sz w:val="24"/>
          <w:szCs w:val="24"/>
        </w:rPr>
        <w:t xml:space="preserve"> illness</w:t>
      </w:r>
      <w:r>
        <w:rPr>
          <w:rStyle w:val="None"/>
          <w:rFonts w:ascii="Times New Roman" w:hAnsi="Times New Roman" w:cs="Times New Roman"/>
          <w:sz w:val="24"/>
          <w:szCs w:val="24"/>
        </w:rPr>
        <w:t xml:space="preserve"> is real. CIRS protocols work to correct</w:t>
      </w:r>
      <w:r w:rsidR="008F352C" w:rsidRPr="002D3A6E">
        <w:rPr>
          <w:rStyle w:val="None"/>
          <w:rFonts w:ascii="Times New Roman" w:hAnsi="Times New Roman" w:cs="Times New Roman"/>
          <w:sz w:val="24"/>
          <w:szCs w:val="24"/>
        </w:rPr>
        <w:t xml:space="preserve"> </w:t>
      </w:r>
      <w:r>
        <w:rPr>
          <w:rStyle w:val="None"/>
          <w:rFonts w:ascii="Times New Roman" w:hAnsi="Times New Roman" w:cs="Times New Roman"/>
          <w:sz w:val="24"/>
          <w:szCs w:val="24"/>
        </w:rPr>
        <w:t>the physiology and the underlying transcriptomic abnormalities.</w:t>
      </w:r>
    </w:p>
    <w:p w14:paraId="75D6AB6F" w14:textId="77777777" w:rsidR="00550E8A" w:rsidRPr="000D3425" w:rsidRDefault="00550E8A" w:rsidP="00466750">
      <w:pPr>
        <w:pStyle w:val="BodyA"/>
        <w:jc w:val="both"/>
        <w:rPr>
          <w:rFonts w:ascii="Times New Roman" w:hAnsi="Times New Roman" w:cs="Times New Roman"/>
        </w:rPr>
      </w:pPr>
    </w:p>
    <w:p w14:paraId="074554FB" w14:textId="0EC36571" w:rsidR="008F352C" w:rsidRPr="002D3A6E" w:rsidRDefault="008F352C" w:rsidP="00466750">
      <w:pPr>
        <w:pStyle w:val="BodyA"/>
        <w:jc w:val="both"/>
        <w:rPr>
          <w:rFonts w:ascii="Times New Roman" w:hAnsi="Times New Roman" w:cs="Times New Roman"/>
          <w:sz w:val="28"/>
          <w:szCs w:val="28"/>
        </w:rPr>
      </w:pPr>
      <w:r w:rsidRPr="002D3A6E">
        <w:rPr>
          <w:rStyle w:val="None"/>
          <w:rFonts w:ascii="Times New Roman" w:hAnsi="Times New Roman" w:cs="Times New Roman"/>
          <w:b/>
          <w:bCs/>
          <w:sz w:val="28"/>
          <w:szCs w:val="28"/>
          <w:lang w:val="fr-FR"/>
        </w:rPr>
        <w:t>Section 4</w:t>
      </w:r>
      <w:r w:rsidR="00B63947">
        <w:rPr>
          <w:rStyle w:val="None"/>
          <w:rFonts w:ascii="Times New Roman" w:hAnsi="Times New Roman" w:cs="Times New Roman"/>
          <w:b/>
          <w:bCs/>
          <w:sz w:val="28"/>
          <w:szCs w:val="28"/>
        </w:rPr>
        <w:t xml:space="preserve">. </w:t>
      </w:r>
      <w:r w:rsidRPr="002D3A6E">
        <w:rPr>
          <w:rStyle w:val="None"/>
          <w:rFonts w:ascii="Times New Roman" w:hAnsi="Times New Roman" w:cs="Times New Roman"/>
          <w:b/>
          <w:bCs/>
          <w:sz w:val="28"/>
          <w:szCs w:val="28"/>
        </w:rPr>
        <w:t>Evolution of the paradigm of CIRS</w:t>
      </w:r>
    </w:p>
    <w:p w14:paraId="09D9D437" w14:textId="72A61226" w:rsidR="008F352C" w:rsidRPr="002D3A6E" w:rsidRDefault="00EE0B11" w:rsidP="00466750">
      <w:pPr>
        <w:pStyle w:val="BodyA"/>
        <w:jc w:val="both"/>
        <w:rPr>
          <w:rFonts w:ascii="Times New Roman" w:hAnsi="Times New Roman" w:cs="Times New Roman"/>
          <w:sz w:val="24"/>
          <w:szCs w:val="24"/>
        </w:rPr>
      </w:pPr>
      <w:r>
        <w:rPr>
          <w:rStyle w:val="None"/>
          <w:rFonts w:ascii="Times New Roman" w:hAnsi="Times New Roman" w:cs="Times New Roman"/>
          <w:sz w:val="24"/>
          <w:szCs w:val="24"/>
        </w:rPr>
        <w:t>Patients</w:t>
      </w:r>
      <w:r w:rsidR="008F352C" w:rsidRPr="002D3A6E">
        <w:rPr>
          <w:rStyle w:val="None"/>
          <w:rFonts w:ascii="Times New Roman" w:hAnsi="Times New Roman" w:cs="Times New Roman"/>
          <w:sz w:val="24"/>
          <w:szCs w:val="24"/>
        </w:rPr>
        <w:t xml:space="preserve"> may also be asked to review the history of CIRS. Knowing the past is an ally for expansion of future understanding. The history of the case definition of CIRS is marked by a series of “spike events.” A spike occurs when there is a publication or a breakthrough that adds exponentially to prior thought. Initially, CIRS was felt to be simply an inflammatory response to exposure to the environmentally produced neurotoxins. Dinoflagellate illnesses, such as Pfiesteria and ciguatera were the afflictions most relied upon to develop the case definition in the late 1990’s. Later additional findings, first from exposure to cyanobacteria (1997) and then to the interior environment of water damaged buildings (WDB, 1998), showed </w:t>
      </w:r>
      <w:r w:rsidR="00644D4D">
        <w:rPr>
          <w:rStyle w:val="None"/>
          <w:rFonts w:ascii="Times New Roman" w:hAnsi="Times New Roman" w:cs="Times New Roman"/>
          <w:sz w:val="24"/>
          <w:szCs w:val="24"/>
        </w:rPr>
        <w:t xml:space="preserve">that </w:t>
      </w:r>
      <w:r w:rsidR="008F352C" w:rsidRPr="002D3A6E">
        <w:rPr>
          <w:rStyle w:val="None"/>
          <w:rFonts w:ascii="Times New Roman" w:hAnsi="Times New Roman" w:cs="Times New Roman"/>
          <w:sz w:val="24"/>
          <w:szCs w:val="24"/>
        </w:rPr>
        <w:t>an uncanny similarity of symptoms was shared by each of these diverse sources of inflammatory illness.</w:t>
      </w:r>
    </w:p>
    <w:p w14:paraId="04AEE9D9" w14:textId="049858F9"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Because the initial sources of illness in some instances could not be identified reliably, </w:t>
      </w:r>
      <w:r w:rsidR="006C1FF4">
        <w:rPr>
          <w:rStyle w:val="None"/>
          <w:rFonts w:ascii="Times New Roman" w:hAnsi="Times New Roman" w:cs="Times New Roman"/>
          <w:sz w:val="24"/>
          <w:szCs w:val="24"/>
        </w:rPr>
        <w:t>the</w:t>
      </w:r>
      <w:r w:rsidRPr="002D3A6E">
        <w:rPr>
          <w:rStyle w:val="None"/>
          <w:rFonts w:ascii="Times New Roman" w:hAnsi="Times New Roman" w:cs="Times New Roman"/>
          <w:sz w:val="24"/>
          <w:szCs w:val="24"/>
        </w:rPr>
        <w:t xml:space="preserve"> case definition in 2003 simply included</w:t>
      </w:r>
      <w:r w:rsidR="00F77602" w:rsidRPr="002D3A6E">
        <w:rPr>
          <w:rStyle w:val="None"/>
          <w:rFonts w:ascii="Times New Roman" w:hAnsi="Times New Roman" w:cs="Times New Roman"/>
          <w:sz w:val="24"/>
          <w:szCs w:val="24"/>
        </w:rPr>
        <w:t>:</w:t>
      </w:r>
      <w:r w:rsidRPr="002D3A6E">
        <w:rPr>
          <w:rStyle w:val="None"/>
          <w:rFonts w:ascii="Times New Roman" w:hAnsi="Times New Roman" w:cs="Times New Roman"/>
          <w:sz w:val="24"/>
          <w:szCs w:val="24"/>
        </w:rPr>
        <w:t xml:space="preserve"> i) the potential for exposure; ii) presence of a multi-system, multi-symptom illness</w:t>
      </w:r>
      <w:r w:rsidR="00F77602" w:rsidRPr="002D3A6E">
        <w:rPr>
          <w:rStyle w:val="None"/>
          <w:rFonts w:ascii="Times New Roman" w:hAnsi="Times New Roman" w:cs="Times New Roman"/>
          <w:sz w:val="24"/>
          <w:szCs w:val="24"/>
        </w:rPr>
        <w:t xml:space="preserve"> and</w:t>
      </w:r>
      <w:r w:rsidRPr="002D3A6E">
        <w:rPr>
          <w:rStyle w:val="None"/>
          <w:rFonts w:ascii="Times New Roman" w:hAnsi="Times New Roman" w:cs="Times New Roman"/>
          <w:sz w:val="24"/>
          <w:szCs w:val="24"/>
        </w:rPr>
        <w:t xml:space="preserve">; iii) absence of confounding exposures or diagnosis. </w:t>
      </w:r>
    </w:p>
    <w:p w14:paraId="454DCF39" w14:textId="742E7E26"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When objective lab studies could be added, first including visual contrast sensitivity (VCS), HLA DR by PCR and melanocy</w:t>
      </w:r>
      <w:r w:rsidR="00EE0B11">
        <w:rPr>
          <w:rStyle w:val="None"/>
          <w:rFonts w:ascii="Times New Roman" w:hAnsi="Times New Roman" w:cs="Times New Roman"/>
          <w:sz w:val="24"/>
          <w:szCs w:val="24"/>
        </w:rPr>
        <w:t>te stimulating hormone (MSH), a c</w:t>
      </w:r>
      <w:r w:rsidRPr="002D3A6E">
        <w:rPr>
          <w:rStyle w:val="None"/>
          <w:rFonts w:ascii="Times New Roman" w:hAnsi="Times New Roman" w:cs="Times New Roman"/>
          <w:sz w:val="24"/>
          <w:szCs w:val="24"/>
        </w:rPr>
        <w:t>ommonality of inflammatory abnormalities together with similarity of symptom groups within subsets of this neurotoxin mediated illness</w:t>
      </w:r>
      <w:r w:rsidR="00EE0B11">
        <w:rPr>
          <w:rStyle w:val="None"/>
          <w:rFonts w:ascii="Times New Roman" w:hAnsi="Times New Roman" w:cs="Times New Roman"/>
          <w:sz w:val="24"/>
          <w:szCs w:val="24"/>
        </w:rPr>
        <w:t xml:space="preserve"> was recognized</w:t>
      </w:r>
      <w:r w:rsidRPr="002D3A6E">
        <w:rPr>
          <w:rStyle w:val="None"/>
          <w:rFonts w:ascii="Times New Roman" w:hAnsi="Times New Roman" w:cs="Times New Roman"/>
          <w:sz w:val="24"/>
          <w:szCs w:val="24"/>
        </w:rPr>
        <w:t xml:space="preserve">. </w:t>
      </w:r>
    </w:p>
    <w:p w14:paraId="551389AF" w14:textId="77777777"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A treatment protocol employed cholestyramine (CSM) after removal from exposure (or treatment of underlying infectious disease) together with clearance of multiply antibiotic resistant coagulase negative staph (MARCoNS), resident in deep nasopharyngeal space. </w:t>
      </w:r>
    </w:p>
    <w:p w14:paraId="6995DF74" w14:textId="4512932A"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In 1998, Lyme researchers </w:t>
      </w:r>
      <w:r w:rsidR="00781DDF">
        <w:rPr>
          <w:rStyle w:val="None"/>
          <w:rFonts w:ascii="Times New Roman" w:hAnsi="Times New Roman" w:cs="Times New Roman"/>
          <w:sz w:val="24"/>
          <w:szCs w:val="24"/>
        </w:rPr>
        <w:t xml:space="preserve">Donta and Cartwright </w:t>
      </w:r>
      <w:r w:rsidRPr="002D3A6E">
        <w:rPr>
          <w:rStyle w:val="None"/>
          <w:rFonts w:ascii="Times New Roman" w:hAnsi="Times New Roman" w:cs="Times New Roman"/>
          <w:sz w:val="24"/>
          <w:szCs w:val="24"/>
        </w:rPr>
        <w:t xml:space="preserve">patented the identification of a biotoxin made by Borrelia burgdorferi </w:t>
      </w:r>
      <w:r w:rsidR="00781DDF">
        <w:rPr>
          <w:rStyle w:val="None"/>
          <w:rFonts w:ascii="Times New Roman" w:hAnsi="Times New Roman" w:cs="Times New Roman"/>
          <w:sz w:val="24"/>
          <w:szCs w:val="24"/>
        </w:rPr>
        <w:t>(Publication number CA2365424 A1</w:t>
      </w:r>
      <w:r w:rsidRPr="002D3A6E">
        <w:rPr>
          <w:rStyle w:val="None"/>
          <w:rFonts w:ascii="Times New Roman" w:hAnsi="Times New Roman" w:cs="Times New Roman"/>
          <w:sz w:val="24"/>
          <w:szCs w:val="24"/>
        </w:rPr>
        <w:t>), the causative agent in Lyme disease. Since CSM worked well to treat other biotoxins, its use in Lyme patients followed. The unexpected and precipitous untoward reactions of patients with Post Lyme Syndrome to CSM caused a stunning rethinking of concepts of biotoxin illnesses. The observed group were people with confirmed Lyme disease as shown either by (i) a physician witnessed erythema migrans rash in association with a recent tick bite or (ii) clear evidence of a significant antibody response as shown by Western Blot testing done in reliable laboratories. These patients, when given cholestyramine after a reasonable course of antibiotic</w:t>
      </w:r>
      <w:r w:rsidR="00EE0B11">
        <w:rPr>
          <w:rStyle w:val="None"/>
          <w:rFonts w:ascii="Times New Roman" w:hAnsi="Times New Roman" w:cs="Times New Roman"/>
          <w:sz w:val="24"/>
          <w:szCs w:val="24"/>
        </w:rPr>
        <w:t>s, did not improve as</w:t>
      </w:r>
      <w:r w:rsidRPr="002D3A6E">
        <w:rPr>
          <w:rStyle w:val="None"/>
          <w:rFonts w:ascii="Times New Roman" w:hAnsi="Times New Roman" w:cs="Times New Roman"/>
          <w:sz w:val="24"/>
          <w:szCs w:val="24"/>
        </w:rPr>
        <w:t xml:space="preserve"> dinoflagellate, cyanobacteria and WDB patients did. They got worse. </w:t>
      </w:r>
    </w:p>
    <w:p w14:paraId="35AA6006" w14:textId="77777777"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This never-before-seen adverse reaction, labeled “</w:t>
      </w:r>
      <w:r w:rsidRPr="002D3A6E">
        <w:rPr>
          <w:rStyle w:val="None"/>
          <w:rFonts w:ascii="Times New Roman" w:hAnsi="Times New Roman" w:cs="Times New Roman"/>
          <w:sz w:val="24"/>
          <w:szCs w:val="24"/>
          <w:lang w:val="fr-FR"/>
        </w:rPr>
        <w:t>intensification,</w:t>
      </w:r>
      <w:r w:rsidRPr="002D3A6E">
        <w:rPr>
          <w:rStyle w:val="None"/>
          <w:rFonts w:ascii="Times New Roman" w:hAnsi="Times New Roman" w:cs="Times New Roman"/>
          <w:sz w:val="24"/>
          <w:szCs w:val="24"/>
        </w:rPr>
        <w:t>” was quickly shown to be due to a massive pro-inflammatory cytokine response as manifested by significant elevation of matrix metalloproteinase-9 (MMP-9). This syndrome was recognized initially as showing a fall in VCS scores beginning in row E, followed by a fall in row D. This was not a “</w:t>
      </w:r>
      <w:r w:rsidRPr="002D3A6E">
        <w:rPr>
          <w:rStyle w:val="None"/>
          <w:rFonts w:ascii="Times New Roman" w:hAnsi="Times New Roman" w:cs="Times New Roman"/>
          <w:sz w:val="24"/>
          <w:szCs w:val="24"/>
          <w:lang w:val="de-DE"/>
        </w:rPr>
        <w:t>Herxheimer</w:t>
      </w:r>
      <w:r w:rsidRPr="002D3A6E">
        <w:rPr>
          <w:rStyle w:val="None"/>
          <w:rFonts w:ascii="Times New Roman" w:hAnsi="Times New Roman" w:cs="Times New Roman"/>
          <w:sz w:val="24"/>
          <w:szCs w:val="24"/>
        </w:rPr>
        <w:t xml:space="preserve">” reaction; it had nothing to do with antibiotics. It simply was a pro-inflammatory cytokine event. </w:t>
      </w:r>
    </w:p>
    <w:p w14:paraId="64329BD2" w14:textId="77777777"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While Post Lyme Syndrome patients presented treatment difficulties, these challenges were the source of new therapies for pro-inflammatory cytokine responses added to the simple cholestyramine and MARCoNS protocol. </w:t>
      </w:r>
    </w:p>
    <w:p w14:paraId="0490B8BC" w14:textId="01D4BDCB"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As the intensification reaction became amenable to diagnosis, treatment and prevention, there were a series of patients who improved beyond what we had seen while others still were ill. </w:t>
      </w:r>
    </w:p>
    <w:p w14:paraId="3F0BB7EC" w14:textId="48B87C9C"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In rapid f</w:t>
      </w:r>
      <w:r w:rsidR="00C0768D">
        <w:rPr>
          <w:rStyle w:val="None"/>
          <w:rFonts w:ascii="Times New Roman" w:hAnsi="Times New Roman" w:cs="Times New Roman"/>
          <w:sz w:val="24"/>
          <w:szCs w:val="24"/>
        </w:rPr>
        <w:t>ire order in the early 2000’s physicians</w:t>
      </w:r>
      <w:r w:rsidRPr="002D3A6E">
        <w:rPr>
          <w:rStyle w:val="None"/>
          <w:rFonts w:ascii="Times New Roman" w:hAnsi="Times New Roman" w:cs="Times New Roman"/>
          <w:sz w:val="24"/>
          <w:szCs w:val="24"/>
        </w:rPr>
        <w:t xml:space="preserve"> were able to see the (i) low levels of vascular endothelial growth factor (VEGF) and (ii) elevated levels of split products of complement activation, especially C4a, which would become additional targets for sequential treatment. </w:t>
      </w:r>
    </w:p>
    <w:p w14:paraId="3F9BB858" w14:textId="77777777"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Melanocyte stimulating hormone (MSH) was the first regulatory neuropeptide to be identified as deficient in the early CIRS cases. Because MSH exerts a regulatory role on production of other hormones, especially including gonadotropins, it was not a surprise to find that androgens together with estrogens were affected by MSH deficiency. To this day, physicians are attempting to “</w:t>
      </w:r>
      <w:r w:rsidRPr="002D3A6E">
        <w:rPr>
          <w:rStyle w:val="None"/>
          <w:rFonts w:ascii="Times New Roman" w:hAnsi="Times New Roman" w:cs="Times New Roman"/>
          <w:sz w:val="24"/>
          <w:szCs w:val="24"/>
          <w:lang w:val="fr-FR"/>
        </w:rPr>
        <w:t>balance</w:t>
      </w:r>
      <w:r w:rsidRPr="002D3A6E">
        <w:rPr>
          <w:rStyle w:val="None"/>
          <w:rFonts w:ascii="Times New Roman" w:hAnsi="Times New Roman" w:cs="Times New Roman"/>
          <w:sz w:val="24"/>
          <w:szCs w:val="24"/>
        </w:rPr>
        <w:t xml:space="preserve">” androgens and estrogens; this approach remains surprising in that a proximal step, that being correction of MSH deficiency, is mandatory in correcting androgens and estrogens. </w:t>
      </w:r>
    </w:p>
    <w:p w14:paraId="53FBD91D" w14:textId="522F9AC7" w:rsidR="008F352C" w:rsidRPr="002D3A6E" w:rsidRDefault="0080354E" w:rsidP="00466750">
      <w:pPr>
        <w:pStyle w:val="BodyA"/>
        <w:jc w:val="both"/>
        <w:rPr>
          <w:rFonts w:ascii="Times New Roman" w:hAnsi="Times New Roman" w:cs="Times New Roman"/>
          <w:sz w:val="24"/>
          <w:szCs w:val="24"/>
        </w:rPr>
      </w:pPr>
      <w:r>
        <w:rPr>
          <w:rStyle w:val="None"/>
          <w:rFonts w:ascii="Times New Roman" w:hAnsi="Times New Roman" w:cs="Times New Roman"/>
          <w:sz w:val="24"/>
          <w:szCs w:val="24"/>
        </w:rPr>
        <w:t>Researchers</w:t>
      </w:r>
      <w:r w:rsidR="008F352C" w:rsidRPr="002D3A6E">
        <w:rPr>
          <w:rStyle w:val="None"/>
          <w:rFonts w:ascii="Times New Roman" w:hAnsi="Times New Roman" w:cs="Times New Roman"/>
          <w:sz w:val="24"/>
          <w:szCs w:val="24"/>
        </w:rPr>
        <w:t xml:space="preserve"> also saw that MSH interacted with antidiuretic hormone</w:t>
      </w:r>
      <w:r w:rsidR="00DB6617">
        <w:rPr>
          <w:rStyle w:val="None"/>
          <w:rFonts w:ascii="Times New Roman" w:hAnsi="Times New Roman" w:cs="Times New Roman"/>
          <w:sz w:val="24"/>
          <w:szCs w:val="24"/>
        </w:rPr>
        <w:t xml:space="preserve"> (ADH)</w:t>
      </w:r>
      <w:r w:rsidR="008F352C" w:rsidRPr="002D3A6E">
        <w:rPr>
          <w:rStyle w:val="None"/>
          <w:rFonts w:ascii="Times New Roman" w:hAnsi="Times New Roman" w:cs="Times New Roman"/>
          <w:sz w:val="24"/>
          <w:szCs w:val="24"/>
        </w:rPr>
        <w:t xml:space="preserve"> in the hypothalamus to regulate other hormone activities in addition to salt and water balance. MSH controls tight junctions in the gut, a fact often overlooked by those who diagnose “leaky gut.”</w:t>
      </w:r>
    </w:p>
    <w:p w14:paraId="7FC522DF" w14:textId="2AB6648C"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The discovery that vasoactive intestinal polypeptide (VIP), another regulatory neuropeptide, was deficient in </w:t>
      </w:r>
      <w:r w:rsidR="006C1FF4">
        <w:rPr>
          <w:rStyle w:val="None"/>
          <w:rFonts w:ascii="Times New Roman" w:hAnsi="Times New Roman" w:cs="Times New Roman"/>
          <w:sz w:val="24"/>
          <w:szCs w:val="24"/>
        </w:rPr>
        <w:t xml:space="preserve">&gt; 90% of patients with </w:t>
      </w:r>
      <w:r w:rsidRPr="002D3A6E">
        <w:rPr>
          <w:rStyle w:val="None"/>
          <w:rFonts w:ascii="Times New Roman" w:hAnsi="Times New Roman" w:cs="Times New Roman"/>
          <w:sz w:val="24"/>
          <w:szCs w:val="24"/>
        </w:rPr>
        <w:t>the syndrome set off another avenue of inquiry in t</w:t>
      </w:r>
      <w:r w:rsidR="0080354E">
        <w:rPr>
          <w:rStyle w:val="None"/>
          <w:rFonts w:ascii="Times New Roman" w:hAnsi="Times New Roman" w:cs="Times New Roman"/>
          <w:sz w:val="24"/>
          <w:szCs w:val="24"/>
        </w:rPr>
        <w:t>he physiology of the illness. Providers</w:t>
      </w:r>
      <w:r w:rsidRPr="002D3A6E">
        <w:rPr>
          <w:rStyle w:val="None"/>
          <w:rFonts w:ascii="Times New Roman" w:hAnsi="Times New Roman" w:cs="Times New Roman"/>
          <w:sz w:val="24"/>
          <w:szCs w:val="24"/>
        </w:rPr>
        <w:t xml:space="preserve"> now know that measurements of VIP receptor</w:t>
      </w:r>
      <w:r w:rsidR="005A1012">
        <w:rPr>
          <w:rStyle w:val="None"/>
          <w:rFonts w:ascii="Times New Roman" w:hAnsi="Times New Roman" w:cs="Times New Roman"/>
          <w:sz w:val="24"/>
          <w:szCs w:val="24"/>
        </w:rPr>
        <w:t>s 1</w:t>
      </w:r>
      <w:r w:rsidR="0080354E">
        <w:rPr>
          <w:rStyle w:val="None"/>
          <w:rFonts w:ascii="Times New Roman" w:hAnsi="Times New Roman" w:cs="Times New Roman"/>
          <w:sz w:val="24"/>
          <w:szCs w:val="24"/>
        </w:rPr>
        <w:t xml:space="preserve"> </w:t>
      </w:r>
      <w:r w:rsidR="005A1012">
        <w:rPr>
          <w:rStyle w:val="None"/>
          <w:rFonts w:ascii="Times New Roman" w:hAnsi="Times New Roman" w:cs="Times New Roman"/>
          <w:sz w:val="24"/>
          <w:szCs w:val="24"/>
        </w:rPr>
        <w:t>and</w:t>
      </w:r>
      <w:r w:rsidRPr="002D3A6E">
        <w:rPr>
          <w:rStyle w:val="None"/>
          <w:rFonts w:ascii="Times New Roman" w:hAnsi="Times New Roman" w:cs="Times New Roman"/>
          <w:sz w:val="24"/>
          <w:szCs w:val="24"/>
        </w:rPr>
        <w:t xml:space="preserve"> 2 </w:t>
      </w:r>
      <w:r w:rsidR="005A1012">
        <w:rPr>
          <w:rStyle w:val="None"/>
          <w:rFonts w:ascii="Times New Roman" w:hAnsi="Times New Roman" w:cs="Times New Roman"/>
          <w:sz w:val="24"/>
          <w:szCs w:val="24"/>
        </w:rPr>
        <w:t xml:space="preserve">are also important to fully understand </w:t>
      </w:r>
      <w:r w:rsidRPr="002D3A6E">
        <w:rPr>
          <w:rStyle w:val="None"/>
          <w:rFonts w:ascii="Times New Roman" w:hAnsi="Times New Roman" w:cs="Times New Roman"/>
          <w:sz w:val="24"/>
          <w:szCs w:val="24"/>
        </w:rPr>
        <w:t>VIP</w:t>
      </w:r>
      <w:r w:rsidR="005A1012">
        <w:rPr>
          <w:rStyle w:val="None"/>
          <w:rFonts w:ascii="Times New Roman" w:hAnsi="Times New Roman" w:cs="Times New Roman"/>
          <w:sz w:val="24"/>
          <w:szCs w:val="24"/>
        </w:rPr>
        <w:t>’s efficacy</w:t>
      </w:r>
      <w:r w:rsidRPr="002D3A6E">
        <w:rPr>
          <w:rStyle w:val="None"/>
          <w:rFonts w:ascii="Times New Roman" w:hAnsi="Times New Roman" w:cs="Times New Roman"/>
          <w:sz w:val="24"/>
          <w:szCs w:val="24"/>
        </w:rPr>
        <w:t>. Transcriptomics shows us how VIP</w:t>
      </w:r>
      <w:r w:rsidR="00FA128B">
        <w:rPr>
          <w:rStyle w:val="None"/>
          <w:rFonts w:ascii="Times New Roman" w:hAnsi="Times New Roman" w:cs="Times New Roman"/>
          <w:sz w:val="24"/>
          <w:szCs w:val="24"/>
        </w:rPr>
        <w:t xml:space="preserve"> receptors</w:t>
      </w:r>
      <w:r w:rsidRPr="002D3A6E">
        <w:rPr>
          <w:rStyle w:val="None"/>
          <w:rFonts w:ascii="Times New Roman" w:hAnsi="Times New Roman" w:cs="Times New Roman"/>
          <w:sz w:val="24"/>
          <w:szCs w:val="24"/>
        </w:rPr>
        <w:t xml:space="preserve"> </w:t>
      </w:r>
      <w:r w:rsidR="00FA128B">
        <w:rPr>
          <w:rStyle w:val="None"/>
          <w:rFonts w:ascii="Times New Roman" w:hAnsi="Times New Roman" w:cs="Times New Roman"/>
          <w:sz w:val="24"/>
          <w:szCs w:val="24"/>
        </w:rPr>
        <w:t>are</w:t>
      </w:r>
      <w:r w:rsidRPr="002D3A6E">
        <w:rPr>
          <w:rStyle w:val="None"/>
          <w:rFonts w:ascii="Times New Roman" w:hAnsi="Times New Roman" w:cs="Times New Roman"/>
          <w:sz w:val="24"/>
          <w:szCs w:val="24"/>
        </w:rPr>
        <w:t xml:space="preserve"> intimately tied to the activities of a family of nuclear transcription factors, Ikaros.</w:t>
      </w:r>
    </w:p>
    <w:p w14:paraId="48D7B016" w14:textId="6EC999D7"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As objective lab parameters began to be associated loosely with some specific grouping of symptoms, it was the sequential treatment </w:t>
      </w:r>
      <w:r w:rsidR="00C1110F">
        <w:rPr>
          <w:rStyle w:val="None"/>
          <w:rFonts w:ascii="Times New Roman" w:hAnsi="Times New Roman" w:cs="Times New Roman"/>
          <w:sz w:val="24"/>
          <w:szCs w:val="24"/>
        </w:rPr>
        <w:t>method</w:t>
      </w:r>
      <w:r w:rsidR="00C1110F" w:rsidRPr="002D3A6E">
        <w:rPr>
          <w:rStyle w:val="None"/>
          <w:rFonts w:ascii="Times New Roman" w:hAnsi="Times New Roman" w:cs="Times New Roman"/>
          <w:sz w:val="24"/>
          <w:szCs w:val="24"/>
        </w:rPr>
        <w:t xml:space="preserve"> </w:t>
      </w:r>
      <w:r w:rsidRPr="002D3A6E">
        <w:rPr>
          <w:rStyle w:val="None"/>
          <w:rFonts w:ascii="Times New Roman" w:hAnsi="Times New Roman" w:cs="Times New Roman"/>
          <w:sz w:val="24"/>
          <w:szCs w:val="24"/>
        </w:rPr>
        <w:t xml:space="preserve">that enabled </w:t>
      </w:r>
      <w:r w:rsidR="006C1FF4">
        <w:rPr>
          <w:rStyle w:val="None"/>
          <w:rFonts w:ascii="Times New Roman" w:hAnsi="Times New Roman" w:cs="Times New Roman"/>
          <w:sz w:val="24"/>
          <w:szCs w:val="24"/>
        </w:rPr>
        <w:t>providers</w:t>
      </w:r>
      <w:r w:rsidRPr="002D3A6E">
        <w:rPr>
          <w:rStyle w:val="None"/>
          <w:rFonts w:ascii="Times New Roman" w:hAnsi="Times New Roman" w:cs="Times New Roman"/>
          <w:sz w:val="24"/>
          <w:szCs w:val="24"/>
        </w:rPr>
        <w:t xml:space="preserve"> to approach symptom reduction in a disciplined manner. By correcting one o</w:t>
      </w:r>
      <w:r w:rsidR="0080354E">
        <w:rPr>
          <w:rStyle w:val="None"/>
          <w:rFonts w:ascii="Times New Roman" w:hAnsi="Times New Roman" w:cs="Times New Roman"/>
          <w:sz w:val="24"/>
          <w:szCs w:val="24"/>
        </w:rPr>
        <w:t>bjective parameter at a time, patients</w:t>
      </w:r>
      <w:r w:rsidRPr="002D3A6E">
        <w:rPr>
          <w:rStyle w:val="None"/>
          <w:rFonts w:ascii="Times New Roman" w:hAnsi="Times New Roman" w:cs="Times New Roman"/>
          <w:sz w:val="24"/>
          <w:szCs w:val="24"/>
        </w:rPr>
        <w:t xml:space="preserve"> could identify symptoms that were improved, implying that there were objective parameters correlating with specific lab abnormalities. </w:t>
      </w:r>
    </w:p>
    <w:p w14:paraId="158B0533" w14:textId="384117C2"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Symptoms reported by patients, by definition, are subjective.  However, when symptoms are collected as part of a medical history, the subjective aspect is now funneled through the trained mind of an experienced health care provider to yield an object</w:t>
      </w:r>
      <w:r w:rsidR="0080354E">
        <w:rPr>
          <w:rStyle w:val="None"/>
          <w:rFonts w:ascii="Times New Roman" w:hAnsi="Times New Roman" w:cs="Times New Roman"/>
          <w:sz w:val="24"/>
          <w:szCs w:val="24"/>
        </w:rPr>
        <w:t>ive picture of symptoms. Symptom recording has</w:t>
      </w:r>
      <w:r w:rsidRPr="002D3A6E">
        <w:rPr>
          <w:rStyle w:val="None"/>
          <w:rFonts w:ascii="Times New Roman" w:hAnsi="Times New Roman" w:cs="Times New Roman"/>
          <w:sz w:val="24"/>
          <w:szCs w:val="24"/>
        </w:rPr>
        <w:t xml:space="preserve"> shown a lack of r</w:t>
      </w:r>
      <w:r w:rsidR="005D599B">
        <w:rPr>
          <w:rStyle w:val="None"/>
          <w:rFonts w:ascii="Times New Roman" w:hAnsi="Times New Roman" w:cs="Times New Roman"/>
          <w:sz w:val="24"/>
          <w:szCs w:val="24"/>
        </w:rPr>
        <w:t xml:space="preserve">eliability </w:t>
      </w:r>
      <w:r w:rsidR="0080354E">
        <w:rPr>
          <w:rStyle w:val="None"/>
          <w:rFonts w:ascii="Times New Roman" w:hAnsi="Times New Roman" w:cs="Times New Roman"/>
          <w:sz w:val="24"/>
          <w:szCs w:val="24"/>
        </w:rPr>
        <w:t>w</w:t>
      </w:r>
      <w:r w:rsidR="005D599B">
        <w:rPr>
          <w:rStyle w:val="None"/>
          <w:rFonts w:ascii="Times New Roman" w:hAnsi="Times New Roman" w:cs="Times New Roman"/>
          <w:sz w:val="24"/>
          <w:szCs w:val="24"/>
        </w:rPr>
        <w:t xml:space="preserve">hen </w:t>
      </w:r>
      <w:r w:rsidRPr="002D3A6E">
        <w:rPr>
          <w:rStyle w:val="None"/>
          <w:rFonts w:ascii="Times New Roman" w:hAnsi="Times New Roman" w:cs="Times New Roman"/>
          <w:sz w:val="24"/>
          <w:szCs w:val="24"/>
        </w:rPr>
        <w:t>performed by the patients using a check list or (even less reliable) using their memory alone.</w:t>
      </w:r>
    </w:p>
    <w:p w14:paraId="11533AC4" w14:textId="7241AA7D"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Symptoms, however, remain vitally important in understanding the multi-system, multi-symptom elements that are crucial to the differential diagnostic process of this illness. Even though symptoms are subjective, accurate collection of a medical history </w:t>
      </w:r>
      <w:r w:rsidR="00DB2D09" w:rsidRPr="002D3A6E">
        <w:rPr>
          <w:rStyle w:val="None"/>
          <w:rFonts w:ascii="Times New Roman" w:hAnsi="Times New Roman" w:cs="Times New Roman"/>
          <w:sz w:val="24"/>
          <w:szCs w:val="24"/>
        </w:rPr>
        <w:t>remains</w:t>
      </w:r>
      <w:r w:rsidRPr="002D3A6E">
        <w:rPr>
          <w:rStyle w:val="None"/>
          <w:rFonts w:ascii="Times New Roman" w:hAnsi="Times New Roman" w:cs="Times New Roman"/>
          <w:sz w:val="24"/>
          <w:szCs w:val="24"/>
        </w:rPr>
        <w:t xml:space="preserve"> the single most important aspect of the differential diagnostic process of any illness.</w:t>
      </w:r>
    </w:p>
    <w:p w14:paraId="01386363" w14:textId="33FE02A4" w:rsidR="0080354E" w:rsidRDefault="008F352C" w:rsidP="00466750">
      <w:pPr>
        <w:pStyle w:val="BodyA"/>
        <w:jc w:val="both"/>
        <w:rPr>
          <w:rStyle w:val="None"/>
          <w:rFonts w:ascii="Times New Roman" w:hAnsi="Times New Roman" w:cs="Times New Roman"/>
          <w:sz w:val="24"/>
          <w:szCs w:val="24"/>
        </w:rPr>
      </w:pPr>
      <w:r w:rsidRPr="002D3A6E">
        <w:rPr>
          <w:rStyle w:val="None"/>
          <w:rFonts w:ascii="Times New Roman" w:hAnsi="Times New Roman" w:cs="Times New Roman"/>
          <w:sz w:val="24"/>
          <w:szCs w:val="24"/>
        </w:rPr>
        <w:t>As the number of CIRS patients seen and treated has expanded; and the number of physicians and healthcare providers who are competent to treat this complicate</w:t>
      </w:r>
      <w:r w:rsidR="0080354E">
        <w:rPr>
          <w:rStyle w:val="None"/>
          <w:rFonts w:ascii="Times New Roman" w:hAnsi="Times New Roman" w:cs="Times New Roman"/>
          <w:sz w:val="24"/>
          <w:szCs w:val="24"/>
        </w:rPr>
        <w:t>d illness has grown,</w:t>
      </w:r>
      <w:r w:rsidR="006C1FF4">
        <w:rPr>
          <w:rStyle w:val="None"/>
          <w:rFonts w:ascii="Times New Roman" w:hAnsi="Times New Roman" w:cs="Times New Roman"/>
          <w:sz w:val="24"/>
          <w:szCs w:val="24"/>
        </w:rPr>
        <w:t xml:space="preserve"> </w:t>
      </w:r>
      <w:r w:rsidR="00535F32">
        <w:rPr>
          <w:rStyle w:val="None"/>
          <w:rFonts w:ascii="Times New Roman" w:hAnsi="Times New Roman" w:cs="Times New Roman"/>
          <w:sz w:val="24"/>
          <w:szCs w:val="24"/>
        </w:rPr>
        <w:t>there</w:t>
      </w:r>
      <w:r w:rsidRPr="002D3A6E">
        <w:rPr>
          <w:rStyle w:val="None"/>
          <w:rFonts w:ascii="Times New Roman" w:hAnsi="Times New Roman" w:cs="Times New Roman"/>
          <w:sz w:val="24"/>
          <w:szCs w:val="24"/>
        </w:rPr>
        <w:t xml:space="preserve"> was little variation in symptoms recorded from patients living around the globe. There were </w:t>
      </w:r>
      <w:r w:rsidR="00A40795">
        <w:rPr>
          <w:rStyle w:val="None"/>
          <w:rFonts w:ascii="Times New Roman" w:hAnsi="Times New Roman" w:cs="Times New Roman"/>
          <w:sz w:val="24"/>
          <w:szCs w:val="24"/>
        </w:rPr>
        <w:t xml:space="preserve">also </w:t>
      </w:r>
      <w:r w:rsidRPr="002D3A6E">
        <w:rPr>
          <w:rStyle w:val="None"/>
          <w:rFonts w:ascii="Times New Roman" w:hAnsi="Times New Roman" w:cs="Times New Roman"/>
          <w:sz w:val="24"/>
          <w:szCs w:val="24"/>
        </w:rPr>
        <w:t xml:space="preserve">specific and reproducible elements in lab abnormalities that suggested that each of these illnesses must have an underlying basis reflecting differential gene activation or suppression. </w:t>
      </w:r>
    </w:p>
    <w:p w14:paraId="41021E63" w14:textId="63135683"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The concept of the “final common pathway,” began to emerge following the 2010 Physician Consensus </w:t>
      </w:r>
      <w:r w:rsidR="00425652">
        <w:rPr>
          <w:rStyle w:val="None"/>
          <w:rFonts w:ascii="Times New Roman" w:hAnsi="Times New Roman" w:cs="Times New Roman"/>
          <w:sz w:val="24"/>
          <w:szCs w:val="24"/>
        </w:rPr>
        <w:t>Statement (15</w:t>
      </w:r>
      <w:r w:rsidR="000F0112" w:rsidRPr="002D3A6E">
        <w:rPr>
          <w:rStyle w:val="None"/>
          <w:rFonts w:ascii="Times New Roman" w:hAnsi="Times New Roman" w:cs="Times New Roman"/>
          <w:sz w:val="24"/>
          <w:szCs w:val="24"/>
        </w:rPr>
        <w:t xml:space="preserve">) </w:t>
      </w:r>
      <w:r w:rsidRPr="002D3A6E">
        <w:rPr>
          <w:rStyle w:val="None"/>
          <w:rFonts w:ascii="Times New Roman" w:hAnsi="Times New Roman" w:cs="Times New Roman"/>
          <w:sz w:val="24"/>
          <w:szCs w:val="24"/>
        </w:rPr>
        <w:t xml:space="preserve">in which this inflammatory illness finally was named chronic inflammatory response syndrome (CIRS).  In other words, a CIRS caused by chronic exposure to WDB, was nearly indistinguishable from a CIRS caused by </w:t>
      </w:r>
      <w:r w:rsidR="00DB6617">
        <w:rPr>
          <w:rStyle w:val="None"/>
          <w:rFonts w:ascii="Times New Roman" w:hAnsi="Times New Roman" w:cs="Times New Roman"/>
          <w:sz w:val="24"/>
          <w:szCs w:val="24"/>
        </w:rPr>
        <w:t>Post Lyme Syndrome, ciguatera, P</w:t>
      </w:r>
      <w:r w:rsidRPr="002D3A6E">
        <w:rPr>
          <w:rStyle w:val="None"/>
          <w:rFonts w:ascii="Times New Roman" w:hAnsi="Times New Roman" w:cs="Times New Roman"/>
          <w:sz w:val="24"/>
          <w:szCs w:val="24"/>
        </w:rPr>
        <w:t xml:space="preserve">fiesteria or cyanobacteria.  The initial inciting triggers might differ in each case, but the end </w:t>
      </w:r>
      <w:r w:rsidR="006C1FF4">
        <w:rPr>
          <w:rStyle w:val="None"/>
          <w:rFonts w:ascii="Times New Roman" w:hAnsi="Times New Roman" w:cs="Times New Roman"/>
          <w:sz w:val="24"/>
          <w:szCs w:val="24"/>
        </w:rPr>
        <w:t>clinical presentation</w:t>
      </w:r>
      <w:r w:rsidR="0080354E">
        <w:rPr>
          <w:rStyle w:val="None"/>
          <w:rFonts w:ascii="Times New Roman" w:hAnsi="Times New Roman" w:cs="Times New Roman"/>
          <w:sz w:val="24"/>
          <w:szCs w:val="24"/>
        </w:rPr>
        <w:t xml:space="preserve"> was similar.  Since providers</w:t>
      </w:r>
      <w:r w:rsidRPr="002D3A6E">
        <w:rPr>
          <w:rStyle w:val="None"/>
          <w:rFonts w:ascii="Times New Roman" w:hAnsi="Times New Roman" w:cs="Times New Roman"/>
          <w:sz w:val="24"/>
          <w:szCs w:val="24"/>
        </w:rPr>
        <w:t xml:space="preserve"> could not rely on VCS deficits, lab abnormalities or symptoms </w:t>
      </w:r>
      <w:r w:rsidR="006C1FF4">
        <w:rPr>
          <w:rStyle w:val="None"/>
          <w:rFonts w:ascii="Times New Roman" w:hAnsi="Times New Roman" w:cs="Times New Roman"/>
          <w:sz w:val="24"/>
          <w:szCs w:val="24"/>
        </w:rPr>
        <w:t xml:space="preserve">alone </w:t>
      </w:r>
      <w:r w:rsidRPr="002D3A6E">
        <w:rPr>
          <w:rStyle w:val="None"/>
          <w:rFonts w:ascii="Times New Roman" w:hAnsi="Times New Roman" w:cs="Times New Roman"/>
          <w:sz w:val="24"/>
          <w:szCs w:val="24"/>
        </w:rPr>
        <w:t>to adequately distinguish on</w:t>
      </w:r>
      <w:r w:rsidR="0080354E">
        <w:rPr>
          <w:rStyle w:val="None"/>
          <w:rFonts w:ascii="Times New Roman" w:hAnsi="Times New Roman" w:cs="Times New Roman"/>
          <w:sz w:val="24"/>
          <w:szCs w:val="24"/>
        </w:rPr>
        <w:t>e illness from another, all physicians h</w:t>
      </w:r>
      <w:r w:rsidRPr="002D3A6E">
        <w:rPr>
          <w:rStyle w:val="None"/>
          <w:rFonts w:ascii="Times New Roman" w:hAnsi="Times New Roman" w:cs="Times New Roman"/>
          <w:sz w:val="24"/>
          <w:szCs w:val="24"/>
        </w:rPr>
        <w:t xml:space="preserve">ad </w:t>
      </w:r>
      <w:r w:rsidR="006C1FF4">
        <w:rPr>
          <w:rStyle w:val="None"/>
          <w:rFonts w:ascii="Times New Roman" w:hAnsi="Times New Roman" w:cs="Times New Roman"/>
          <w:sz w:val="24"/>
          <w:szCs w:val="24"/>
        </w:rPr>
        <w:t xml:space="preserve">to support a diagnosis </w:t>
      </w:r>
      <w:r w:rsidRPr="002D3A6E">
        <w:rPr>
          <w:rStyle w:val="None"/>
          <w:rFonts w:ascii="Times New Roman" w:hAnsi="Times New Roman" w:cs="Times New Roman"/>
          <w:sz w:val="24"/>
          <w:szCs w:val="24"/>
        </w:rPr>
        <w:t>was potential for exposure. Even this reliable method of history taking became confounded when say</w:t>
      </w:r>
      <w:r w:rsidR="005D599B">
        <w:rPr>
          <w:rStyle w:val="None"/>
          <w:rFonts w:ascii="Times New Roman" w:hAnsi="Times New Roman" w:cs="Times New Roman"/>
          <w:sz w:val="24"/>
          <w:szCs w:val="24"/>
        </w:rPr>
        <w:t>,</w:t>
      </w:r>
      <w:r w:rsidRPr="002D3A6E">
        <w:rPr>
          <w:rStyle w:val="None"/>
          <w:rFonts w:ascii="Times New Roman" w:hAnsi="Times New Roman" w:cs="Times New Roman"/>
          <w:sz w:val="24"/>
          <w:szCs w:val="24"/>
        </w:rPr>
        <w:t xml:space="preserve"> someone who had a dinoflagellate illness</w:t>
      </w:r>
      <w:r w:rsidR="000F0112" w:rsidRPr="002D3A6E">
        <w:rPr>
          <w:rStyle w:val="None"/>
          <w:rFonts w:ascii="Times New Roman" w:hAnsi="Times New Roman" w:cs="Times New Roman"/>
          <w:sz w:val="24"/>
          <w:szCs w:val="24"/>
        </w:rPr>
        <w:t xml:space="preserve"> then</w:t>
      </w:r>
      <w:r w:rsidR="0080354E">
        <w:rPr>
          <w:rStyle w:val="None"/>
          <w:rFonts w:ascii="Times New Roman" w:hAnsi="Times New Roman" w:cs="Times New Roman"/>
          <w:sz w:val="24"/>
          <w:szCs w:val="24"/>
        </w:rPr>
        <w:t xml:space="preserve"> moved into a moldy apartment creating </w:t>
      </w:r>
      <w:r w:rsidRPr="002D3A6E">
        <w:rPr>
          <w:rStyle w:val="None"/>
          <w:rFonts w:ascii="Times New Roman" w:hAnsi="Times New Roman" w:cs="Times New Roman"/>
          <w:sz w:val="24"/>
          <w:szCs w:val="24"/>
        </w:rPr>
        <w:t>two sources of biotoxin exposure. Even worse, some individuals would be residing next to fresh water areas, lakes or ponds for example, in which there would b</w:t>
      </w:r>
      <w:r w:rsidR="002C487C">
        <w:rPr>
          <w:rStyle w:val="None"/>
          <w:rFonts w:ascii="Times New Roman" w:hAnsi="Times New Roman" w:cs="Times New Roman"/>
          <w:sz w:val="24"/>
          <w:szCs w:val="24"/>
        </w:rPr>
        <w:t>e</w:t>
      </w:r>
      <w:r w:rsidRPr="002D3A6E">
        <w:rPr>
          <w:rStyle w:val="None"/>
          <w:rFonts w:ascii="Times New Roman" w:hAnsi="Times New Roman" w:cs="Times New Roman"/>
          <w:sz w:val="24"/>
          <w:szCs w:val="24"/>
        </w:rPr>
        <w:t xml:space="preserve"> cyanobacteria blooms in addition to moldy buildings and sick fish. </w:t>
      </w:r>
    </w:p>
    <w:p w14:paraId="095483C0" w14:textId="04148E61" w:rsidR="008F352C" w:rsidRPr="002D3A6E" w:rsidRDefault="00037AB7" w:rsidP="00466750">
      <w:pPr>
        <w:pStyle w:val="BodyA"/>
        <w:jc w:val="both"/>
        <w:rPr>
          <w:rFonts w:ascii="Times New Roman" w:hAnsi="Times New Roman" w:cs="Times New Roman"/>
          <w:sz w:val="24"/>
          <w:szCs w:val="24"/>
        </w:rPr>
      </w:pPr>
      <w:r w:rsidRPr="00037AB7">
        <w:rPr>
          <w:rStyle w:val="None"/>
          <w:rFonts w:ascii="Times New Roman" w:hAnsi="Times New Roman" w:cs="Times New Roman"/>
          <w:sz w:val="24"/>
          <w:szCs w:val="24"/>
        </w:rPr>
        <w:t>Clearly,</w:t>
      </w:r>
      <w:r w:rsidR="0080354E">
        <w:rPr>
          <w:rStyle w:val="None"/>
          <w:rFonts w:ascii="Times New Roman" w:hAnsi="Times New Roman" w:cs="Times New Roman"/>
          <w:sz w:val="24"/>
          <w:szCs w:val="24"/>
        </w:rPr>
        <w:t xml:space="preserve"> physicians</w:t>
      </w:r>
      <w:r w:rsidR="008F352C" w:rsidRPr="002D3A6E">
        <w:rPr>
          <w:rStyle w:val="None"/>
          <w:rFonts w:ascii="Times New Roman" w:hAnsi="Times New Roman" w:cs="Times New Roman"/>
          <w:sz w:val="24"/>
          <w:szCs w:val="24"/>
        </w:rPr>
        <w:t xml:space="preserve"> needed a diagnostic method that would (i) specify individual illness and provide the (ii) basis for monitoring results of treatment. </w:t>
      </w:r>
    </w:p>
    <w:p w14:paraId="0A4F10AE" w14:textId="55F1A186"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With papers published in 2015, 2016, 2017 and 2018, the importance of transcriptomics in the diagnostic process of CIRS is </w:t>
      </w:r>
      <w:r w:rsidR="006C1FF4">
        <w:rPr>
          <w:rStyle w:val="None"/>
          <w:rFonts w:ascii="Times New Roman" w:hAnsi="Times New Roman" w:cs="Times New Roman"/>
          <w:sz w:val="24"/>
          <w:szCs w:val="24"/>
        </w:rPr>
        <w:t>manifest</w:t>
      </w:r>
      <w:r w:rsidRPr="002D3A6E">
        <w:rPr>
          <w:rStyle w:val="None"/>
          <w:rFonts w:ascii="Times New Roman" w:hAnsi="Times New Roman" w:cs="Times New Roman"/>
          <w:sz w:val="24"/>
          <w:szCs w:val="24"/>
        </w:rPr>
        <w:t xml:space="preserve">. </w:t>
      </w:r>
    </w:p>
    <w:p w14:paraId="163F91F8" w14:textId="31CE62C1" w:rsidR="008F352C" w:rsidRPr="002D3A6E" w:rsidRDefault="0080354E" w:rsidP="00466750">
      <w:pPr>
        <w:pStyle w:val="BodyA"/>
        <w:jc w:val="both"/>
        <w:rPr>
          <w:rFonts w:ascii="Times New Roman" w:hAnsi="Times New Roman" w:cs="Times New Roman"/>
          <w:sz w:val="24"/>
          <w:szCs w:val="24"/>
        </w:rPr>
      </w:pPr>
      <w:r>
        <w:rPr>
          <w:rStyle w:val="None"/>
          <w:rFonts w:ascii="Times New Roman" w:hAnsi="Times New Roman" w:cs="Times New Roman"/>
          <w:sz w:val="24"/>
          <w:szCs w:val="24"/>
        </w:rPr>
        <w:t>As</w:t>
      </w:r>
      <w:r w:rsidR="008F352C" w:rsidRPr="002D3A6E">
        <w:rPr>
          <w:rStyle w:val="None"/>
          <w:rFonts w:ascii="Times New Roman" w:hAnsi="Times New Roman" w:cs="Times New Roman"/>
          <w:sz w:val="24"/>
          <w:szCs w:val="24"/>
        </w:rPr>
        <w:t xml:space="preserve"> transcriptomics </w:t>
      </w:r>
      <w:r>
        <w:rPr>
          <w:rStyle w:val="None"/>
          <w:rFonts w:ascii="Times New Roman" w:hAnsi="Times New Roman" w:cs="Times New Roman"/>
          <w:sz w:val="24"/>
          <w:szCs w:val="24"/>
        </w:rPr>
        <w:t xml:space="preserve">is added </w:t>
      </w:r>
      <w:r w:rsidR="008F352C" w:rsidRPr="002D3A6E">
        <w:rPr>
          <w:rStyle w:val="None"/>
          <w:rFonts w:ascii="Times New Roman" w:hAnsi="Times New Roman" w:cs="Times New Roman"/>
          <w:sz w:val="24"/>
          <w:szCs w:val="24"/>
        </w:rPr>
        <w:t>to CIRS case management, based on case-controlled studies and based on prospective intervent</w:t>
      </w:r>
      <w:r>
        <w:rPr>
          <w:rStyle w:val="None"/>
          <w:rFonts w:ascii="Times New Roman" w:hAnsi="Times New Roman" w:cs="Times New Roman"/>
          <w:sz w:val="24"/>
          <w:szCs w:val="24"/>
        </w:rPr>
        <w:t>ion trial</w:t>
      </w:r>
      <w:r w:rsidR="006C1FF4">
        <w:rPr>
          <w:rStyle w:val="None"/>
          <w:rFonts w:ascii="Times New Roman" w:hAnsi="Times New Roman" w:cs="Times New Roman"/>
          <w:sz w:val="24"/>
          <w:szCs w:val="24"/>
        </w:rPr>
        <w:t>s</w:t>
      </w:r>
      <w:r>
        <w:rPr>
          <w:rStyle w:val="None"/>
          <w:rFonts w:ascii="Times New Roman" w:hAnsi="Times New Roman" w:cs="Times New Roman"/>
          <w:sz w:val="24"/>
          <w:szCs w:val="24"/>
        </w:rPr>
        <w:t>, there</w:t>
      </w:r>
      <w:r w:rsidR="008F352C" w:rsidRPr="002D3A6E">
        <w:rPr>
          <w:rStyle w:val="None"/>
          <w:rFonts w:ascii="Times New Roman" w:hAnsi="Times New Roman" w:cs="Times New Roman"/>
          <w:sz w:val="24"/>
          <w:szCs w:val="24"/>
        </w:rPr>
        <w:t xml:space="preserve"> is a molecular basis for the final common pathway suggested by commonality of symptoms in sources of CIRS. While there is an old expression that “All roads lead to a final common p</w:t>
      </w:r>
      <w:r>
        <w:rPr>
          <w:rStyle w:val="None"/>
          <w:rFonts w:ascii="Times New Roman" w:hAnsi="Times New Roman" w:cs="Times New Roman"/>
          <w:sz w:val="24"/>
          <w:szCs w:val="24"/>
        </w:rPr>
        <w:t>ath that leads to Rome,” what providers</w:t>
      </w:r>
      <w:r w:rsidR="008F352C" w:rsidRPr="002D3A6E">
        <w:rPr>
          <w:rStyle w:val="None"/>
          <w:rFonts w:ascii="Times New Roman" w:hAnsi="Times New Roman" w:cs="Times New Roman"/>
          <w:sz w:val="24"/>
          <w:szCs w:val="24"/>
        </w:rPr>
        <w:t xml:space="preserve"> are seeing in the approach to CIRS is more like that of a spider web. The greatest movement of the web is in the very </w:t>
      </w:r>
      <w:r w:rsidR="00037AB7" w:rsidRPr="00037AB7">
        <w:rPr>
          <w:rStyle w:val="None"/>
          <w:rFonts w:ascii="Times New Roman" w:hAnsi="Times New Roman" w:cs="Times New Roman"/>
          <w:sz w:val="24"/>
          <w:szCs w:val="24"/>
        </w:rPr>
        <w:t>center,</w:t>
      </w:r>
      <w:r w:rsidR="008F352C" w:rsidRPr="002D3A6E">
        <w:rPr>
          <w:rStyle w:val="None"/>
          <w:rFonts w:ascii="Times New Roman" w:hAnsi="Times New Roman" w:cs="Times New Roman"/>
          <w:sz w:val="24"/>
          <w:szCs w:val="24"/>
        </w:rPr>
        <w:t xml:space="preserve"> but the tethers could attach variously to corners around a window or to an object that was stable providing a mechanism for the spider web to survive wind and rain. Whatever came to the center of the web could come from any seemingly unrelated tether.</w:t>
      </w:r>
    </w:p>
    <w:p w14:paraId="1FCF97C2" w14:textId="16CF0C30" w:rsidR="008F352C" w:rsidRPr="002D3A6E" w:rsidRDefault="0080354E" w:rsidP="00466750">
      <w:pPr>
        <w:pStyle w:val="BodyA"/>
        <w:jc w:val="both"/>
        <w:rPr>
          <w:rFonts w:ascii="Times New Roman" w:hAnsi="Times New Roman" w:cs="Times New Roman"/>
          <w:sz w:val="24"/>
          <w:szCs w:val="24"/>
        </w:rPr>
      </w:pPr>
      <w:r>
        <w:rPr>
          <w:rStyle w:val="None"/>
          <w:rFonts w:ascii="Times New Roman" w:hAnsi="Times New Roman" w:cs="Times New Roman"/>
          <w:sz w:val="24"/>
          <w:szCs w:val="24"/>
        </w:rPr>
        <w:t>Genomics can be regarded as</w:t>
      </w:r>
      <w:r w:rsidR="008F352C" w:rsidRPr="002D3A6E">
        <w:rPr>
          <w:rStyle w:val="None"/>
          <w:rFonts w:ascii="Times New Roman" w:hAnsi="Times New Roman" w:cs="Times New Roman"/>
          <w:sz w:val="24"/>
          <w:szCs w:val="24"/>
        </w:rPr>
        <w:t xml:space="preserve"> the center core of the spider web. Here is the source of all the objective laboratory abnormalities; here is the source of all the confusing complexities of symptoms and their groupings called clusters. Here is the basis for CIRS illness. </w:t>
      </w:r>
    </w:p>
    <w:p w14:paraId="551BDF0C" w14:textId="77777777" w:rsidR="005D599B" w:rsidRDefault="008F352C" w:rsidP="00466750">
      <w:pPr>
        <w:jc w:val="both"/>
        <w:rPr>
          <w:rStyle w:val="None"/>
        </w:rPr>
      </w:pPr>
      <w:r w:rsidRPr="00B63947">
        <w:rPr>
          <w:rStyle w:val="None"/>
        </w:rPr>
        <w:t>To quote a current Pri</w:t>
      </w:r>
      <w:r w:rsidR="00425652">
        <w:rPr>
          <w:rStyle w:val="None"/>
        </w:rPr>
        <w:t>mer in Transcriptomics (16</w:t>
      </w:r>
      <w:r w:rsidRPr="00B63947">
        <w:rPr>
          <w:rStyle w:val="None"/>
        </w:rPr>
        <w:t>):</w:t>
      </w:r>
    </w:p>
    <w:p w14:paraId="6308C147" w14:textId="77777777" w:rsidR="005D599B" w:rsidRDefault="005D599B" w:rsidP="00466750">
      <w:pPr>
        <w:jc w:val="both"/>
        <w:rPr>
          <w:rStyle w:val="None"/>
        </w:rPr>
      </w:pPr>
    </w:p>
    <w:p w14:paraId="79FDBDF2" w14:textId="26CEA811" w:rsidR="008F352C" w:rsidRPr="00B63947" w:rsidRDefault="008F352C" w:rsidP="00466750">
      <w:pPr>
        <w:jc w:val="both"/>
      </w:pPr>
      <w:r w:rsidRPr="00B63947">
        <w:rPr>
          <w:rStyle w:val="None"/>
        </w:rPr>
        <w:t xml:space="preserve"> “</w:t>
      </w:r>
      <w:r w:rsidRPr="00B63947">
        <w:t>Transcriptomics has now crossed from research to application. It not only serves as a diagnostic aid but it also provides precision in monitoring the complexities found in many immune-based illnesses, such as chronic inflammatory responses acquired following environmental exposures. We see transcriptomics as an ideal mechanism to fine tune therapies aimed at correction of inflammatory abnormalities.</w:t>
      </w:r>
    </w:p>
    <w:p w14:paraId="166CF044" w14:textId="77777777" w:rsidR="008F352C" w:rsidRPr="00B63947" w:rsidRDefault="008F352C" w:rsidP="00466750">
      <w:pPr>
        <w:jc w:val="both"/>
      </w:pPr>
    </w:p>
    <w:p w14:paraId="6C4A2436" w14:textId="74CF59EC" w:rsidR="008F352C" w:rsidRPr="00B63947" w:rsidRDefault="008F352C" w:rsidP="00466750">
      <w:pPr>
        <w:jc w:val="both"/>
      </w:pPr>
      <w:r w:rsidRPr="00B63947">
        <w:t xml:space="preserve">“The initial finding </w:t>
      </w:r>
      <w:r w:rsidR="00425652">
        <w:t>by Ryan, et al (5)</w:t>
      </w:r>
      <w:r w:rsidRPr="00B63947">
        <w:t xml:space="preserve"> showed that intranasal use of VIP in CIRS patients, part way through their treatment protocols, modulated expression of both nuclear encoded mitochondrial genes and ribosomal genes. We later confirmed that patients naïve to treatment had profound suppression of these same genes. These genes usually recover with the first ten steps of the Shoemaker Protocol; they often become higher than normal controls. A tantalizing possibility for the overshoot lies with genes important in glycolysis (breakdown of glucose into two 3-carbon fragments). One of these genes, glyceraldehyde-3-phosphate dehydrogenase (GAPDH), also functions to regulate inflammatory gene suppression after initial activation in the presence of interferon gamma. </w:t>
      </w:r>
    </w:p>
    <w:p w14:paraId="735C1EB4" w14:textId="77777777" w:rsidR="008F352C" w:rsidRPr="00B63947" w:rsidRDefault="008F352C" w:rsidP="00466750">
      <w:pPr>
        <w:jc w:val="both"/>
      </w:pPr>
    </w:p>
    <w:p w14:paraId="3012DF98" w14:textId="49E42B38" w:rsidR="008F352C" w:rsidRPr="00B63947" w:rsidRDefault="008F352C" w:rsidP="00466750">
      <w:pPr>
        <w:jc w:val="both"/>
      </w:pPr>
      <w:r w:rsidRPr="00B63947">
        <w:t>“What we think is happening is an attack on the basic cellular metabolic elements. It is well documented that microbial toxins (i) attack protein production at the level of the ribosome and (ii) energy production in the mitochondria. Patients with CIRS will not recover unless exposure to these microbes and their cellular toxins ceases. Further, it is well documented that in the face of infectio</w:t>
      </w:r>
      <w:r w:rsidR="000F0112" w:rsidRPr="00B63947">
        <w:t>us diseases</w:t>
      </w:r>
      <w:r w:rsidRPr="00B63947">
        <w:t xml:space="preserve">, especially </w:t>
      </w:r>
      <w:r w:rsidR="000F0112" w:rsidRPr="00B63947">
        <w:t xml:space="preserve">from </w:t>
      </w:r>
      <w:r w:rsidRPr="00B63947">
        <w:t xml:space="preserve">viruses, that cells become “hypometabolic” </w:t>
      </w:r>
      <w:r w:rsidR="00AE3991" w:rsidRPr="00B63947">
        <w:t>to</w:t>
      </w:r>
      <w:r w:rsidRPr="00B63947">
        <w:t xml:space="preserve"> prevent viral “takeover” of cellular function.</w:t>
      </w:r>
    </w:p>
    <w:p w14:paraId="5F189BF7" w14:textId="77777777" w:rsidR="008F352C" w:rsidRPr="00B63947" w:rsidRDefault="008F352C" w:rsidP="00466750">
      <w:pPr>
        <w:jc w:val="both"/>
      </w:pPr>
    </w:p>
    <w:p w14:paraId="4E243316" w14:textId="77777777" w:rsidR="008F352C" w:rsidRPr="00B63947" w:rsidRDefault="008F352C" w:rsidP="00466750">
      <w:pPr>
        <w:jc w:val="both"/>
      </w:pPr>
      <w:r w:rsidRPr="00B63947">
        <w:t>“This idea is relevant for the abnormal immune responses we see in CIRS. Hypometabolic immune cells activate primordial mechanisms: innate immunity, complement, defensins. These protective inflammatory elements do not require participation of cells. When cells begin to recover from the illness-induced hypometabolic state, the protective mechanisms of innate immunity begin to wane. Cells then upregulate protein production, energy production and begin to use sugar properly. Call it a “synchronized reboot,” of cellular systems. Re-exposure simply means a recall of innate immunity and all its protective mechanisms.</w:t>
      </w:r>
    </w:p>
    <w:p w14:paraId="5DC8C375" w14:textId="77777777" w:rsidR="008F352C" w:rsidRPr="00B63947" w:rsidRDefault="008F352C" w:rsidP="00466750">
      <w:pPr>
        <w:jc w:val="both"/>
      </w:pPr>
    </w:p>
    <w:p w14:paraId="79FF51FE" w14:textId="271C72AA" w:rsidR="008F352C" w:rsidRPr="00B63947" w:rsidRDefault="008F352C" w:rsidP="00466750">
      <w:pPr>
        <w:jc w:val="both"/>
      </w:pPr>
      <w:r w:rsidRPr="00B63947">
        <w:t>“The sequence of hypometabolism and recovery are shown by changes in transcriptomics. Certainly, the CIRS protocol could prime ribosomal and mitochondrial gene expression. Then VIP could upregulate GAPDH gene expression. Could increased pyruvate from glycolysis fire up the mitochondrial furnace for energy production and then protein expression?” Or will it stay suppressed as to not increase lactate production?</w:t>
      </w:r>
      <w:r w:rsidR="0080354E">
        <w:t>”</w:t>
      </w:r>
    </w:p>
    <w:p w14:paraId="52F96C17" w14:textId="77777777" w:rsidR="008F352C" w:rsidRPr="002D3A6E" w:rsidRDefault="008F352C" w:rsidP="00466750">
      <w:pPr>
        <w:pStyle w:val="BodyA"/>
        <w:jc w:val="both"/>
        <w:rPr>
          <w:rFonts w:ascii="Times New Roman" w:hAnsi="Times New Roman" w:cs="Times New Roman"/>
          <w:sz w:val="24"/>
          <w:szCs w:val="24"/>
        </w:rPr>
      </w:pPr>
    </w:p>
    <w:p w14:paraId="45B4A112" w14:textId="0C84C08E"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With a genomic</w:t>
      </w:r>
      <w:r w:rsidR="0080354E">
        <w:rPr>
          <w:rStyle w:val="None"/>
          <w:rFonts w:ascii="Times New Roman" w:hAnsi="Times New Roman" w:cs="Times New Roman"/>
          <w:sz w:val="24"/>
          <w:szCs w:val="24"/>
        </w:rPr>
        <w:t>s basis established for CIRS, physicians</w:t>
      </w:r>
      <w:r w:rsidRPr="002D3A6E">
        <w:rPr>
          <w:rStyle w:val="None"/>
          <w:rFonts w:ascii="Times New Roman" w:hAnsi="Times New Roman" w:cs="Times New Roman"/>
          <w:sz w:val="24"/>
          <w:szCs w:val="24"/>
        </w:rPr>
        <w:t xml:space="preserve"> began to see application of the principles of CIRS to other illnesses that involve inflammation but did not have all the elements of CIRS. For example, in a small number of patients w</w:t>
      </w:r>
      <w:r w:rsidR="0080354E">
        <w:rPr>
          <w:rStyle w:val="None"/>
          <w:rFonts w:ascii="Times New Roman" w:hAnsi="Times New Roman" w:cs="Times New Roman"/>
          <w:sz w:val="24"/>
          <w:szCs w:val="24"/>
        </w:rPr>
        <w:t>ith impending heart transplant</w:t>
      </w:r>
      <w:r w:rsidR="006C1FF4">
        <w:rPr>
          <w:rStyle w:val="None"/>
          <w:rFonts w:ascii="Times New Roman" w:hAnsi="Times New Roman" w:cs="Times New Roman"/>
          <w:sz w:val="24"/>
          <w:szCs w:val="24"/>
        </w:rPr>
        <w:t xml:space="preserve"> for dilated cardiomyopathy</w:t>
      </w:r>
      <w:r w:rsidR="0080354E">
        <w:rPr>
          <w:rStyle w:val="None"/>
          <w:rFonts w:ascii="Times New Roman" w:hAnsi="Times New Roman" w:cs="Times New Roman"/>
          <w:sz w:val="24"/>
          <w:szCs w:val="24"/>
        </w:rPr>
        <w:t>,</w:t>
      </w:r>
      <w:r w:rsidR="004276BB">
        <w:rPr>
          <w:rStyle w:val="None"/>
          <w:rFonts w:ascii="Times New Roman" w:hAnsi="Times New Roman" w:cs="Times New Roman"/>
          <w:sz w:val="24"/>
          <w:szCs w:val="24"/>
        </w:rPr>
        <w:t xml:space="preserve"> gene expression of</w:t>
      </w:r>
      <w:r w:rsidRPr="002D3A6E">
        <w:rPr>
          <w:rStyle w:val="None"/>
          <w:rFonts w:ascii="Times New Roman" w:hAnsi="Times New Roman" w:cs="Times New Roman"/>
          <w:sz w:val="24"/>
          <w:szCs w:val="24"/>
        </w:rPr>
        <w:t xml:space="preserve"> adrenoceptors and “contractility receptors” found in perip</w:t>
      </w:r>
      <w:r w:rsidR="0080354E">
        <w:rPr>
          <w:rStyle w:val="None"/>
          <w:rFonts w:ascii="Times New Roman" w:hAnsi="Times New Roman" w:cs="Times New Roman"/>
          <w:sz w:val="24"/>
          <w:szCs w:val="24"/>
        </w:rPr>
        <w:t>heral blood cells respond to CIRS protocols.  If it is confirmed</w:t>
      </w:r>
      <w:r w:rsidRPr="002D3A6E">
        <w:rPr>
          <w:rStyle w:val="None"/>
          <w:rFonts w:ascii="Times New Roman" w:hAnsi="Times New Roman" w:cs="Times New Roman"/>
          <w:sz w:val="24"/>
          <w:szCs w:val="24"/>
        </w:rPr>
        <w:t xml:space="preserve"> that cardiac myocytes also improve like </w:t>
      </w:r>
      <w:r w:rsidR="0080354E">
        <w:rPr>
          <w:rStyle w:val="None"/>
          <w:rFonts w:ascii="Times New Roman" w:hAnsi="Times New Roman" w:cs="Times New Roman"/>
          <w:sz w:val="24"/>
          <w:szCs w:val="24"/>
        </w:rPr>
        <w:t>white blood cells do, perhaps providers</w:t>
      </w:r>
      <w:r w:rsidRPr="002D3A6E">
        <w:rPr>
          <w:rStyle w:val="None"/>
          <w:rFonts w:ascii="Times New Roman" w:hAnsi="Times New Roman" w:cs="Times New Roman"/>
          <w:sz w:val="24"/>
          <w:szCs w:val="24"/>
        </w:rPr>
        <w:t xml:space="preserve"> will see dramatic </w:t>
      </w:r>
      <w:r w:rsidR="0080354E">
        <w:rPr>
          <w:rStyle w:val="None"/>
          <w:rFonts w:ascii="Times New Roman" w:hAnsi="Times New Roman" w:cs="Times New Roman"/>
          <w:sz w:val="24"/>
          <w:szCs w:val="24"/>
        </w:rPr>
        <w:t xml:space="preserve">changes in quality of life if </w:t>
      </w:r>
      <w:r w:rsidRPr="002D3A6E">
        <w:rPr>
          <w:rStyle w:val="None"/>
          <w:rFonts w:ascii="Times New Roman" w:hAnsi="Times New Roman" w:cs="Times New Roman"/>
          <w:sz w:val="24"/>
          <w:szCs w:val="24"/>
        </w:rPr>
        <w:t>further myocardial injury from genomic abnormalities</w:t>
      </w:r>
      <w:r w:rsidR="0080354E">
        <w:rPr>
          <w:rStyle w:val="None"/>
          <w:rFonts w:ascii="Times New Roman" w:hAnsi="Times New Roman" w:cs="Times New Roman"/>
          <w:sz w:val="24"/>
          <w:szCs w:val="24"/>
        </w:rPr>
        <w:t xml:space="preserve"> can be prevented.</w:t>
      </w:r>
      <w:r w:rsidRPr="002D3A6E">
        <w:rPr>
          <w:rStyle w:val="None"/>
          <w:rFonts w:ascii="Times New Roman" w:hAnsi="Times New Roman" w:cs="Times New Roman"/>
          <w:sz w:val="24"/>
          <w:szCs w:val="24"/>
        </w:rPr>
        <w:t xml:space="preserve"> </w:t>
      </w:r>
    </w:p>
    <w:p w14:paraId="3D940CE6" w14:textId="61BF235D"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Atherosclerosis is </w:t>
      </w:r>
      <w:r w:rsidR="006C1FF4">
        <w:rPr>
          <w:rStyle w:val="None"/>
          <w:rFonts w:ascii="Times New Roman" w:hAnsi="Times New Roman" w:cs="Times New Roman"/>
          <w:sz w:val="24"/>
          <w:szCs w:val="24"/>
        </w:rPr>
        <w:t xml:space="preserve">increasingly </w:t>
      </w:r>
      <w:r w:rsidRPr="002D3A6E">
        <w:rPr>
          <w:rStyle w:val="None"/>
          <w:rFonts w:ascii="Times New Roman" w:hAnsi="Times New Roman" w:cs="Times New Roman"/>
          <w:sz w:val="24"/>
          <w:szCs w:val="24"/>
        </w:rPr>
        <w:t>shown to be an inflammatory illness. Oxidized LDL is a potent nuclear transcription factor. Insulin and insulin resistance are the inflammatory bases of diabetes and obesity. Alzheimer’s of particular types, specifically Type III, is shown to be an inflammatory illness. Inflammation is now recognized as the underlying mechanism, not just a source of the symptoms and not just the cause of lab abnormalities. For further information, see the Transcr</w:t>
      </w:r>
      <w:r w:rsidR="00425652">
        <w:rPr>
          <w:rStyle w:val="None"/>
          <w:rFonts w:ascii="Times New Roman" w:hAnsi="Times New Roman" w:cs="Times New Roman"/>
          <w:sz w:val="24"/>
          <w:szCs w:val="24"/>
        </w:rPr>
        <w:t>iptomic Primer (16</w:t>
      </w:r>
      <w:r w:rsidRPr="002D3A6E">
        <w:rPr>
          <w:rStyle w:val="None"/>
          <w:rFonts w:ascii="Times New Roman" w:hAnsi="Times New Roman" w:cs="Times New Roman"/>
          <w:sz w:val="24"/>
          <w:szCs w:val="24"/>
        </w:rPr>
        <w:t xml:space="preserve">). </w:t>
      </w:r>
    </w:p>
    <w:p w14:paraId="73BFB9D4" w14:textId="3B067433" w:rsidR="008F352C" w:rsidRPr="002D3A6E" w:rsidRDefault="0001712F" w:rsidP="00466750">
      <w:pPr>
        <w:pStyle w:val="BodyA"/>
        <w:jc w:val="both"/>
        <w:rPr>
          <w:rFonts w:ascii="Times New Roman" w:hAnsi="Times New Roman" w:cs="Times New Roman"/>
          <w:sz w:val="24"/>
          <w:szCs w:val="24"/>
        </w:rPr>
      </w:pPr>
      <w:r>
        <w:rPr>
          <w:rStyle w:val="None"/>
          <w:rFonts w:ascii="Times New Roman" w:hAnsi="Times New Roman" w:cs="Times New Roman"/>
          <w:sz w:val="24"/>
          <w:szCs w:val="24"/>
        </w:rPr>
        <w:t>As</w:t>
      </w:r>
      <w:r w:rsidR="008F352C" w:rsidRPr="002D3A6E">
        <w:rPr>
          <w:rStyle w:val="None"/>
          <w:rFonts w:ascii="Times New Roman" w:hAnsi="Times New Roman" w:cs="Times New Roman"/>
          <w:sz w:val="24"/>
          <w:szCs w:val="24"/>
        </w:rPr>
        <w:t xml:space="preserve"> the next decade of CIRS</w:t>
      </w:r>
      <w:r>
        <w:rPr>
          <w:rStyle w:val="None"/>
          <w:rFonts w:ascii="Times New Roman" w:hAnsi="Times New Roman" w:cs="Times New Roman"/>
          <w:sz w:val="24"/>
          <w:szCs w:val="24"/>
        </w:rPr>
        <w:t xml:space="preserve"> approaches</w:t>
      </w:r>
      <w:r w:rsidR="008F352C" w:rsidRPr="002D3A6E">
        <w:rPr>
          <w:rStyle w:val="None"/>
          <w:rFonts w:ascii="Times New Roman" w:hAnsi="Times New Roman" w:cs="Times New Roman"/>
          <w:sz w:val="24"/>
          <w:szCs w:val="24"/>
        </w:rPr>
        <w:t>, the expansion of application of the principles of CIRS to other illnesses, possibly including pediatric acute-onset neuropsychiatric syndrome (PANS)</w:t>
      </w:r>
      <w:r w:rsidR="00535F32">
        <w:rPr>
          <w:rStyle w:val="None"/>
          <w:rFonts w:ascii="Times New Roman" w:hAnsi="Times New Roman" w:cs="Times New Roman"/>
          <w:sz w:val="24"/>
          <w:szCs w:val="24"/>
        </w:rPr>
        <w:t>,</w:t>
      </w:r>
      <w:r w:rsidR="008F352C" w:rsidRPr="002D3A6E">
        <w:rPr>
          <w:rStyle w:val="None"/>
          <w:rFonts w:ascii="Times New Roman" w:hAnsi="Times New Roman" w:cs="Times New Roman"/>
          <w:sz w:val="24"/>
          <w:szCs w:val="24"/>
        </w:rPr>
        <w:t xml:space="preserve"> is becoming clear. An important field is the TH17/Treg imbalance. T-regulatory cell abnormalities also are related to abnormalities of genomics and abnormalities in some of the elements of CIRS but not all. </w:t>
      </w:r>
    </w:p>
    <w:p w14:paraId="135AEC07" w14:textId="755C46FF" w:rsidR="008F352C" w:rsidRDefault="008F352C" w:rsidP="00466750">
      <w:pPr>
        <w:pStyle w:val="BodyA"/>
        <w:jc w:val="both"/>
        <w:rPr>
          <w:rStyle w:val="None"/>
          <w:rFonts w:ascii="Times New Roman" w:hAnsi="Times New Roman" w:cs="Times New Roman"/>
          <w:sz w:val="24"/>
          <w:szCs w:val="24"/>
        </w:rPr>
      </w:pPr>
      <w:r w:rsidRPr="002D3A6E">
        <w:rPr>
          <w:rStyle w:val="None"/>
          <w:rFonts w:ascii="Times New Roman" w:hAnsi="Times New Roman" w:cs="Times New Roman"/>
          <w:sz w:val="24"/>
          <w:szCs w:val="24"/>
        </w:rPr>
        <w:t>CIRS is now one end of the spectrum of inflammation</w:t>
      </w:r>
      <w:r w:rsidR="008A2D54">
        <w:rPr>
          <w:rStyle w:val="None"/>
          <w:rFonts w:ascii="Times New Roman" w:hAnsi="Times New Roman" w:cs="Times New Roman"/>
          <w:sz w:val="24"/>
          <w:szCs w:val="24"/>
        </w:rPr>
        <w:t>,</w:t>
      </w:r>
      <w:r w:rsidRPr="002D3A6E">
        <w:rPr>
          <w:rStyle w:val="None"/>
          <w:rFonts w:ascii="Times New Roman" w:hAnsi="Times New Roman" w:cs="Times New Roman"/>
          <w:sz w:val="24"/>
          <w:szCs w:val="24"/>
        </w:rPr>
        <w:t xml:space="preserve"> with each </w:t>
      </w:r>
      <w:r w:rsidR="008A2D54">
        <w:rPr>
          <w:rStyle w:val="None"/>
          <w:rFonts w:ascii="Times New Roman" w:hAnsi="Times New Roman" w:cs="Times New Roman"/>
          <w:sz w:val="24"/>
          <w:szCs w:val="24"/>
        </w:rPr>
        <w:t xml:space="preserve">new </w:t>
      </w:r>
      <w:r w:rsidRPr="002D3A6E">
        <w:rPr>
          <w:rStyle w:val="None"/>
          <w:rFonts w:ascii="Times New Roman" w:hAnsi="Times New Roman" w:cs="Times New Roman"/>
          <w:sz w:val="24"/>
          <w:szCs w:val="24"/>
        </w:rPr>
        <w:t>element as it is being described contributing to understanding of each other element previously described. By adding one inflammatory feature of an illness on top of another, much as blocks laid on a foundation wall, we begin to recognize that our attempts to define diseas</w:t>
      </w:r>
      <w:r w:rsidR="0001712F">
        <w:rPr>
          <w:rStyle w:val="None"/>
          <w:rFonts w:ascii="Times New Roman" w:hAnsi="Times New Roman" w:cs="Times New Roman"/>
          <w:sz w:val="24"/>
          <w:szCs w:val="24"/>
        </w:rPr>
        <w:t>es by organ system will fail. Physicians</w:t>
      </w:r>
      <w:r w:rsidRPr="002D3A6E">
        <w:rPr>
          <w:rStyle w:val="None"/>
          <w:rFonts w:ascii="Times New Roman" w:hAnsi="Times New Roman" w:cs="Times New Roman"/>
          <w:sz w:val="24"/>
          <w:szCs w:val="24"/>
        </w:rPr>
        <w:t xml:space="preserve"> recognize, however that infectious diseases often set off </w:t>
      </w:r>
      <w:r w:rsidR="00535F32">
        <w:rPr>
          <w:rStyle w:val="None"/>
          <w:rFonts w:ascii="Times New Roman" w:hAnsi="Times New Roman" w:cs="Times New Roman"/>
          <w:sz w:val="24"/>
          <w:szCs w:val="24"/>
        </w:rPr>
        <w:t xml:space="preserve">systemic </w:t>
      </w:r>
      <w:r w:rsidRPr="002D3A6E">
        <w:rPr>
          <w:rStyle w:val="None"/>
          <w:rFonts w:ascii="Times New Roman" w:hAnsi="Times New Roman" w:cs="Times New Roman"/>
          <w:sz w:val="24"/>
          <w:szCs w:val="24"/>
        </w:rPr>
        <w:t xml:space="preserve">inflammation that will persist beyond clearance of infectious </w:t>
      </w:r>
      <w:r w:rsidR="00535F32">
        <w:rPr>
          <w:rStyle w:val="None"/>
          <w:rFonts w:ascii="Times New Roman" w:hAnsi="Times New Roman" w:cs="Times New Roman"/>
          <w:sz w:val="24"/>
          <w:szCs w:val="24"/>
        </w:rPr>
        <w:t>agent</w:t>
      </w:r>
      <w:r w:rsidRPr="002D3A6E">
        <w:rPr>
          <w:rStyle w:val="None"/>
          <w:rFonts w:ascii="Times New Roman" w:hAnsi="Times New Roman" w:cs="Times New Roman"/>
          <w:sz w:val="24"/>
          <w:szCs w:val="24"/>
        </w:rPr>
        <w:t>. In others, not so much. For the illnesses that d</w:t>
      </w:r>
      <w:r w:rsidR="0001712F">
        <w:rPr>
          <w:rStyle w:val="None"/>
          <w:rFonts w:ascii="Times New Roman" w:hAnsi="Times New Roman" w:cs="Times New Roman"/>
          <w:sz w:val="24"/>
          <w:szCs w:val="24"/>
        </w:rPr>
        <w:t>o effect changes in genomics, physicians and patients alike</w:t>
      </w:r>
      <w:r w:rsidRPr="002D3A6E">
        <w:rPr>
          <w:rStyle w:val="None"/>
          <w:rFonts w:ascii="Times New Roman" w:hAnsi="Times New Roman" w:cs="Times New Roman"/>
          <w:sz w:val="24"/>
          <w:szCs w:val="24"/>
        </w:rPr>
        <w:t xml:space="preserve"> are in the middle of a revolution of </w:t>
      </w:r>
      <w:r w:rsidR="000F0112" w:rsidRPr="002D3A6E">
        <w:rPr>
          <w:rStyle w:val="None"/>
          <w:rFonts w:ascii="Times New Roman" w:hAnsi="Times New Roman" w:cs="Times New Roman"/>
          <w:sz w:val="24"/>
          <w:szCs w:val="24"/>
        </w:rPr>
        <w:t>understanding</w:t>
      </w:r>
      <w:r w:rsidRPr="002D3A6E">
        <w:rPr>
          <w:rStyle w:val="None"/>
          <w:rFonts w:ascii="Times New Roman" w:hAnsi="Times New Roman" w:cs="Times New Roman"/>
          <w:sz w:val="24"/>
          <w:szCs w:val="24"/>
        </w:rPr>
        <w:t xml:space="preserve"> and a revolution </w:t>
      </w:r>
      <w:r w:rsidR="000F0112" w:rsidRPr="002D3A6E">
        <w:rPr>
          <w:rStyle w:val="None"/>
          <w:rFonts w:ascii="Times New Roman" w:hAnsi="Times New Roman" w:cs="Times New Roman"/>
          <w:sz w:val="24"/>
          <w:szCs w:val="24"/>
        </w:rPr>
        <w:t>in</w:t>
      </w:r>
      <w:r w:rsidRPr="002D3A6E">
        <w:rPr>
          <w:rStyle w:val="None"/>
          <w:rFonts w:ascii="Times New Roman" w:hAnsi="Times New Roman" w:cs="Times New Roman"/>
          <w:sz w:val="24"/>
          <w:szCs w:val="24"/>
        </w:rPr>
        <w:t xml:space="preserve"> treatment. </w:t>
      </w:r>
    </w:p>
    <w:p w14:paraId="10E17A15" w14:textId="77777777" w:rsidR="00425652" w:rsidRDefault="00425652" w:rsidP="00466750">
      <w:pPr>
        <w:pStyle w:val="BodyA"/>
        <w:jc w:val="both"/>
      </w:pPr>
    </w:p>
    <w:p w14:paraId="62002868" w14:textId="5F17CF28" w:rsidR="008F352C" w:rsidRDefault="008F352C" w:rsidP="00466750">
      <w:pPr>
        <w:pStyle w:val="BodyA"/>
        <w:jc w:val="both"/>
      </w:pPr>
      <w:r w:rsidRPr="002D3A6E">
        <w:rPr>
          <w:rStyle w:val="None"/>
          <w:rFonts w:ascii="Times New Roman" w:hAnsi="Times New Roman" w:cs="Times New Roman"/>
          <w:b/>
          <w:bCs/>
          <w:sz w:val="28"/>
          <w:szCs w:val="28"/>
          <w:lang w:val="fr-FR"/>
        </w:rPr>
        <w:t>Section 5</w:t>
      </w:r>
      <w:r w:rsidR="00B63947">
        <w:rPr>
          <w:rStyle w:val="None"/>
          <w:rFonts w:ascii="Times New Roman" w:hAnsi="Times New Roman" w:cs="Times New Roman"/>
          <w:b/>
          <w:bCs/>
          <w:sz w:val="28"/>
          <w:szCs w:val="28"/>
        </w:rPr>
        <w:t xml:space="preserve">. </w:t>
      </w:r>
      <w:r w:rsidRPr="002D3A6E">
        <w:rPr>
          <w:rStyle w:val="None"/>
          <w:rFonts w:ascii="Times New Roman" w:hAnsi="Times New Roman" w:cs="Times New Roman"/>
          <w:b/>
          <w:bCs/>
          <w:sz w:val="28"/>
          <w:szCs w:val="28"/>
        </w:rPr>
        <w:t>Specific symptoms</w:t>
      </w:r>
    </w:p>
    <w:p w14:paraId="3B1B09FA" w14:textId="6BD4132F" w:rsidR="008F352C" w:rsidRPr="002D3A6E" w:rsidRDefault="0001712F" w:rsidP="00466750">
      <w:pPr>
        <w:pStyle w:val="BodyA"/>
        <w:jc w:val="both"/>
        <w:rPr>
          <w:rFonts w:ascii="Times New Roman" w:hAnsi="Times New Roman" w:cs="Times New Roman"/>
          <w:sz w:val="24"/>
          <w:szCs w:val="24"/>
        </w:rPr>
      </w:pPr>
      <w:r>
        <w:rPr>
          <w:rStyle w:val="None"/>
          <w:rFonts w:ascii="Times New Roman" w:hAnsi="Times New Roman" w:cs="Times New Roman"/>
          <w:sz w:val="24"/>
          <w:szCs w:val="24"/>
        </w:rPr>
        <w:t>From a</w:t>
      </w:r>
      <w:r w:rsidR="008F352C" w:rsidRPr="002D3A6E">
        <w:rPr>
          <w:rStyle w:val="None"/>
          <w:rFonts w:ascii="Times New Roman" w:hAnsi="Times New Roman" w:cs="Times New Roman"/>
          <w:sz w:val="24"/>
          <w:szCs w:val="24"/>
        </w:rPr>
        <w:t xml:space="preserve"> list of 37 </w:t>
      </w:r>
      <w:r>
        <w:rPr>
          <w:rStyle w:val="None"/>
          <w:rFonts w:ascii="Times New Roman" w:hAnsi="Times New Roman" w:cs="Times New Roman"/>
          <w:sz w:val="24"/>
          <w:szCs w:val="24"/>
        </w:rPr>
        <w:t>different symptoms, there are</w:t>
      </w:r>
      <w:r w:rsidR="008F352C" w:rsidRPr="002D3A6E">
        <w:rPr>
          <w:rStyle w:val="None"/>
          <w:rFonts w:ascii="Times New Roman" w:hAnsi="Times New Roman" w:cs="Times New Roman"/>
          <w:sz w:val="24"/>
          <w:szCs w:val="24"/>
        </w:rPr>
        <w:t xml:space="preserve"> eight main categories (general, musc</w:t>
      </w:r>
      <w:r w:rsidR="00DB6617">
        <w:rPr>
          <w:rStyle w:val="None"/>
          <w:rFonts w:ascii="Times New Roman" w:hAnsi="Times New Roman" w:cs="Times New Roman"/>
          <w:sz w:val="24"/>
          <w:szCs w:val="24"/>
        </w:rPr>
        <w:t>uloskeletal, eye, respiratory, gastrointestinal</w:t>
      </w:r>
      <w:r w:rsidR="008F352C" w:rsidRPr="002D3A6E">
        <w:rPr>
          <w:rStyle w:val="None"/>
          <w:rFonts w:ascii="Times New Roman" w:hAnsi="Times New Roman" w:cs="Times New Roman"/>
          <w:sz w:val="24"/>
          <w:szCs w:val="24"/>
        </w:rPr>
        <w:t xml:space="preserve">, cognitive, hypothalamic and neurologic) </w:t>
      </w:r>
      <w:r w:rsidR="00535F32">
        <w:rPr>
          <w:rStyle w:val="None"/>
          <w:rFonts w:ascii="Times New Roman" w:hAnsi="Times New Roman" w:cs="Times New Roman"/>
          <w:sz w:val="24"/>
          <w:szCs w:val="24"/>
        </w:rPr>
        <w:t xml:space="preserve">formed </w:t>
      </w:r>
      <w:r w:rsidR="008F352C" w:rsidRPr="002D3A6E">
        <w:rPr>
          <w:rStyle w:val="None"/>
          <w:rFonts w:ascii="Times New Roman" w:hAnsi="Times New Roman" w:cs="Times New Roman"/>
          <w:sz w:val="24"/>
          <w:szCs w:val="24"/>
        </w:rPr>
        <w:t>in a</w:t>
      </w:r>
      <w:r w:rsidR="00535F32">
        <w:rPr>
          <w:rStyle w:val="None"/>
          <w:rFonts w:ascii="Times New Roman" w:hAnsi="Times New Roman" w:cs="Times New Roman"/>
          <w:sz w:val="24"/>
          <w:szCs w:val="24"/>
        </w:rPr>
        <w:t xml:space="preserve">n </w:t>
      </w:r>
      <w:r w:rsidR="008F352C" w:rsidRPr="002D3A6E">
        <w:rPr>
          <w:rStyle w:val="None"/>
          <w:rFonts w:ascii="Times New Roman" w:hAnsi="Times New Roman" w:cs="Times New Roman"/>
          <w:sz w:val="24"/>
          <w:szCs w:val="24"/>
        </w:rPr>
        <w:t>effort to</w:t>
      </w:r>
      <w:r>
        <w:rPr>
          <w:rStyle w:val="None"/>
          <w:rFonts w:ascii="Times New Roman" w:hAnsi="Times New Roman" w:cs="Times New Roman"/>
          <w:sz w:val="24"/>
          <w:szCs w:val="24"/>
        </w:rPr>
        <w:t xml:space="preserve"> classify symptoms. Cluster analysis provides</w:t>
      </w:r>
      <w:r w:rsidR="008F352C" w:rsidRPr="002D3A6E">
        <w:rPr>
          <w:rStyle w:val="None"/>
          <w:rFonts w:ascii="Times New Roman" w:hAnsi="Times New Roman" w:cs="Times New Roman"/>
          <w:sz w:val="24"/>
          <w:szCs w:val="24"/>
        </w:rPr>
        <w:t xml:space="preserve"> a mechanism to take subjective symptoms, pass them through a skilled medical history and then convert them to objective elements </w:t>
      </w:r>
      <w:r w:rsidR="00EC5D61">
        <w:rPr>
          <w:rStyle w:val="None"/>
          <w:rFonts w:ascii="Times New Roman" w:hAnsi="Times New Roman" w:cs="Times New Roman"/>
          <w:sz w:val="24"/>
          <w:szCs w:val="24"/>
        </w:rPr>
        <w:t>using</w:t>
      </w:r>
      <w:r w:rsidR="008F352C" w:rsidRPr="002D3A6E">
        <w:rPr>
          <w:rStyle w:val="None"/>
          <w:rFonts w:ascii="Times New Roman" w:hAnsi="Times New Roman" w:cs="Times New Roman"/>
          <w:sz w:val="24"/>
          <w:szCs w:val="24"/>
        </w:rPr>
        <w:t xml:space="preserve"> abstruse statistical methods, including cluster analysis. Clusters can take the seemingly endless roster of symptoms to make their use amenable to a scoring system.</w:t>
      </w:r>
    </w:p>
    <w:p w14:paraId="7CE6657B" w14:textId="77777777" w:rsidR="0036523A" w:rsidRDefault="0036523A" w:rsidP="00466750">
      <w:pPr>
        <w:pStyle w:val="BodyA"/>
        <w:jc w:val="both"/>
        <w:rPr>
          <w:rFonts w:ascii="Times New Roman" w:hAnsi="Times New Roman" w:cs="Times New Roman"/>
          <w:sz w:val="24"/>
          <w:szCs w:val="24"/>
        </w:rPr>
      </w:pPr>
    </w:p>
    <w:p w14:paraId="25A8E77F" w14:textId="77777777" w:rsidR="0036523A" w:rsidRDefault="0036523A" w:rsidP="00466750">
      <w:pPr>
        <w:pStyle w:val="BodyA"/>
        <w:jc w:val="both"/>
        <w:rPr>
          <w:rFonts w:ascii="Times New Roman" w:hAnsi="Times New Roman" w:cs="Times New Roman"/>
          <w:sz w:val="24"/>
          <w:szCs w:val="24"/>
        </w:rPr>
        <w:sectPr w:rsidR="0036523A" w:rsidSect="0036523A">
          <w:footerReference w:type="default" r:id="rId11"/>
          <w:type w:val="continuous"/>
          <w:pgSz w:w="12240" w:h="15840"/>
          <w:pgMar w:top="1260" w:right="1440" w:bottom="1440" w:left="1440" w:header="720" w:footer="576" w:gutter="0"/>
          <w:cols w:num="2" w:space="720"/>
          <w:titlePg/>
          <w:docGrid w:linePitch="326"/>
        </w:sectPr>
      </w:pPr>
    </w:p>
    <w:p w14:paraId="175AA0C0" w14:textId="4B830868" w:rsidR="008F352C" w:rsidRPr="002D3A6E" w:rsidRDefault="008F352C" w:rsidP="00466750">
      <w:pPr>
        <w:pStyle w:val="BodyA"/>
        <w:jc w:val="both"/>
        <w:rPr>
          <w:rFonts w:ascii="Times New Roman" w:hAnsi="Times New Roman" w:cs="Times New Roman"/>
          <w:sz w:val="24"/>
          <w:szCs w:val="24"/>
        </w:rPr>
      </w:pPr>
    </w:p>
    <w:p w14:paraId="26451E6C" w14:textId="77777777" w:rsidR="0036523A" w:rsidRDefault="0036523A" w:rsidP="00466750">
      <w:pPr>
        <w:pStyle w:val="BodyA"/>
        <w:jc w:val="both"/>
        <w:rPr>
          <w:rStyle w:val="None"/>
          <w:rFonts w:ascii="Times New Roman" w:hAnsi="Times New Roman" w:cs="Times New Roman"/>
          <w:b/>
          <w:sz w:val="20"/>
          <w:szCs w:val="20"/>
        </w:rPr>
      </w:pPr>
    </w:p>
    <w:p w14:paraId="44ACCD5B" w14:textId="77777777" w:rsidR="0036523A" w:rsidRDefault="0036523A" w:rsidP="00466750">
      <w:pPr>
        <w:pStyle w:val="BodyA"/>
        <w:jc w:val="both"/>
        <w:rPr>
          <w:rStyle w:val="None"/>
          <w:rFonts w:ascii="Times New Roman" w:hAnsi="Times New Roman" w:cs="Times New Roman"/>
          <w:b/>
          <w:sz w:val="20"/>
          <w:szCs w:val="20"/>
        </w:rPr>
      </w:pPr>
    </w:p>
    <w:p w14:paraId="344EF7C6" w14:textId="77777777" w:rsidR="0036523A" w:rsidRDefault="0036523A" w:rsidP="00466750">
      <w:pPr>
        <w:pStyle w:val="BodyA"/>
        <w:jc w:val="both"/>
        <w:rPr>
          <w:rStyle w:val="None"/>
          <w:rFonts w:ascii="Times New Roman" w:hAnsi="Times New Roman" w:cs="Times New Roman"/>
          <w:b/>
          <w:sz w:val="20"/>
          <w:szCs w:val="20"/>
        </w:rPr>
      </w:pPr>
    </w:p>
    <w:p w14:paraId="548426FE" w14:textId="77777777" w:rsidR="0036523A" w:rsidRDefault="0036523A" w:rsidP="00466750">
      <w:pPr>
        <w:pStyle w:val="BodyA"/>
        <w:jc w:val="both"/>
        <w:rPr>
          <w:rStyle w:val="None"/>
          <w:rFonts w:ascii="Times New Roman" w:hAnsi="Times New Roman" w:cs="Times New Roman"/>
          <w:b/>
          <w:sz w:val="20"/>
          <w:szCs w:val="20"/>
        </w:rPr>
      </w:pPr>
    </w:p>
    <w:p w14:paraId="0AD5B2EE" w14:textId="3A566CE0" w:rsidR="008F352C" w:rsidRPr="00EC5D61" w:rsidRDefault="008F352C" w:rsidP="00466750">
      <w:pPr>
        <w:pStyle w:val="BodyA"/>
        <w:jc w:val="both"/>
        <w:rPr>
          <w:rFonts w:ascii="Times New Roman" w:hAnsi="Times New Roman" w:cs="Times New Roman"/>
          <w:b/>
          <w:sz w:val="20"/>
          <w:szCs w:val="20"/>
        </w:rPr>
      </w:pPr>
      <w:r w:rsidRPr="00EC5D61">
        <w:rPr>
          <w:rStyle w:val="None"/>
          <w:rFonts w:ascii="Times New Roman" w:hAnsi="Times New Roman" w:cs="Times New Roman"/>
          <w:b/>
          <w:sz w:val="20"/>
          <w:szCs w:val="20"/>
        </w:rPr>
        <w:t xml:space="preserve">Table 1 </w:t>
      </w:r>
      <w:r w:rsidR="001159E0" w:rsidRPr="00EC5D61">
        <w:rPr>
          <w:rStyle w:val="None"/>
          <w:rFonts w:ascii="Times New Roman" w:hAnsi="Times New Roman" w:cs="Times New Roman"/>
          <w:b/>
          <w:sz w:val="20"/>
          <w:szCs w:val="20"/>
        </w:rPr>
        <w:t>- Percent</w:t>
      </w:r>
      <w:r w:rsidRPr="00EC5D61">
        <w:rPr>
          <w:rStyle w:val="None"/>
          <w:rFonts w:ascii="Times New Roman" w:hAnsi="Times New Roman" w:cs="Times New Roman"/>
          <w:b/>
          <w:sz w:val="20"/>
          <w:szCs w:val="20"/>
        </w:rPr>
        <w:t xml:space="preserve"> incidence of symptoms in various CIRS conditions</w:t>
      </w:r>
    </w:p>
    <w:tbl>
      <w:tblPr>
        <w:tblW w:w="1007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15"/>
        <w:gridCol w:w="1260"/>
        <w:gridCol w:w="810"/>
        <w:gridCol w:w="900"/>
        <w:gridCol w:w="1080"/>
        <w:gridCol w:w="900"/>
        <w:gridCol w:w="810"/>
        <w:gridCol w:w="1084"/>
        <w:gridCol w:w="716"/>
      </w:tblGrid>
      <w:tr w:rsidR="008F352C" w:rsidRPr="0036523A" w14:paraId="0F00C267" w14:textId="77777777" w:rsidTr="00684D56">
        <w:trPr>
          <w:trHeight w:val="45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3E0B6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Symptoms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478DE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 xml:space="preserve">Controls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1BFF4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Cyano</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1D4C9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WDB-1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110C9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WDB-2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1D93F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WDB-3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C235A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PEAS</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91607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Ciguatera</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2DF44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Lyme</w:t>
            </w:r>
          </w:p>
        </w:tc>
      </w:tr>
      <w:tr w:rsidR="008F352C" w:rsidRPr="0036523A" w14:paraId="3D47F57A"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2E99E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D2D40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239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1D420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7BABF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156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80E1E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288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66ECC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21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95646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42</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3AB24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D5C08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352</w:t>
            </w:r>
          </w:p>
        </w:tc>
      </w:tr>
      <w:tr w:rsidR="008F352C" w:rsidRPr="0036523A" w14:paraId="3E9C5F34"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A11B8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Fatigue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A97AC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D73C3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2DFEB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91B28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7AF58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29377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70</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42D09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91</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49E9D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94</w:t>
            </w:r>
          </w:p>
        </w:tc>
      </w:tr>
      <w:tr w:rsidR="008F352C" w:rsidRPr="0036523A" w14:paraId="06DBF421"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FD2B0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Weak</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687CE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8D00E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67E34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85DF7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DAFAE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D83C0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82F0E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83</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61393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89</w:t>
            </w:r>
          </w:p>
        </w:tc>
      </w:tr>
      <w:tr w:rsidR="008F352C" w:rsidRPr="0036523A" w14:paraId="263D255C"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315BF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Ache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A22BF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7D414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90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3F050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AFF5F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7CEA1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95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2C4B0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43</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46C52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77</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07185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81</w:t>
            </w:r>
          </w:p>
        </w:tc>
      </w:tr>
      <w:tr w:rsidR="008F352C" w:rsidRPr="0036523A" w14:paraId="7C0950E9"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CF01E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Cramp</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88DFB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FA954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3D373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7CB0F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9EE2F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758CF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14</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AD05B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68</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C21E1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77</w:t>
            </w:r>
          </w:p>
        </w:tc>
      </w:tr>
      <w:tr w:rsidR="008F352C" w:rsidRPr="0036523A" w14:paraId="136126C6"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7204D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Unusual Pains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2F774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00B9B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E154C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7F4D0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BA2E5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9015D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A3DF2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82</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B5D96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86</w:t>
            </w:r>
          </w:p>
        </w:tc>
      </w:tr>
      <w:tr w:rsidR="008F352C" w:rsidRPr="0036523A" w14:paraId="0A8C7DAF"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1926D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Ice Pick Pain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F2CBD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82952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A0CCC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DD302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8C5E8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12F54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59C9D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45</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A192E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82</w:t>
            </w:r>
          </w:p>
        </w:tc>
      </w:tr>
      <w:tr w:rsidR="008F352C" w:rsidRPr="0036523A" w14:paraId="3AD4DD17"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BE620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Headache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C3EDB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82E49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90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88324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FE655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82FC1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0D183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73</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67532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78</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EE7A4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88</w:t>
            </w:r>
          </w:p>
        </w:tc>
      </w:tr>
      <w:tr w:rsidR="008F352C" w:rsidRPr="0036523A" w14:paraId="5C57C966"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328E2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Light Sensitivity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843CF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24B96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90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E9C28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D825D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303B1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57AB9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68</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5F59B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67</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0267E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85</w:t>
            </w:r>
          </w:p>
        </w:tc>
      </w:tr>
      <w:tr w:rsidR="008F352C" w:rsidRPr="0036523A" w14:paraId="6A70A880"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D643C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Red Eyes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F29DC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9AD00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2A769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13D8C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70B31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93874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68</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B93CF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48</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64432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61</w:t>
            </w:r>
          </w:p>
        </w:tc>
      </w:tr>
      <w:tr w:rsidR="008F352C" w:rsidRPr="0036523A" w14:paraId="688278B2"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FD156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Blurred Vision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2C227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33BCE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E292D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27AF9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885FA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CAE9D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7A3C0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53</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5D4DE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66</w:t>
            </w:r>
          </w:p>
        </w:tc>
      </w:tr>
      <w:tr w:rsidR="008F352C" w:rsidRPr="0036523A" w14:paraId="0B7A5789"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5D468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Tearing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67077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969EC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55E86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C15C0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F57E7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01A55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3031E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28</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F8239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55</w:t>
            </w:r>
          </w:p>
        </w:tc>
      </w:tr>
      <w:tr w:rsidR="008F352C" w:rsidRPr="0036523A" w14:paraId="3FAB4808"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7CEA0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SOB</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2ADE6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A37A9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A4181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3D7E5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24311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7CDBC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57</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0874F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63</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7C754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77</w:t>
            </w:r>
          </w:p>
        </w:tc>
      </w:tr>
      <w:tr w:rsidR="008F352C" w:rsidRPr="0036523A" w14:paraId="0F443551"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F739B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Cough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6D0C8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8646A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5028B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36BDF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234DA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66E91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43</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0906F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62</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5E573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71</w:t>
            </w:r>
          </w:p>
        </w:tc>
      </w:tr>
      <w:tr w:rsidR="008F352C" w:rsidRPr="0036523A" w14:paraId="23469BAF"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BE2C9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Sinus Congestion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C126E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FE061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3BA31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EBF52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27DC0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31386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41</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4EDB2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70</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3974E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68</w:t>
            </w:r>
          </w:p>
        </w:tc>
      </w:tr>
      <w:tr w:rsidR="008F352C" w:rsidRPr="0036523A" w14:paraId="5C6EFA66"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CF534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Abdominal Pain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BAA84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D7863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43AEB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925CB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FB1E0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BC256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41</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F383A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79</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0DC5E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42</w:t>
            </w:r>
          </w:p>
        </w:tc>
      </w:tr>
      <w:tr w:rsidR="008F352C" w:rsidRPr="0036523A" w14:paraId="6F214D36"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890B1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Diarrhea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7AA09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6F554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28A81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C565E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E2355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21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24305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57</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5EE06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72</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D4B49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51</w:t>
            </w:r>
          </w:p>
        </w:tc>
      </w:tr>
      <w:tr w:rsidR="008F352C" w:rsidRPr="0036523A" w14:paraId="4ABE6884"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9C059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Joint Pain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8EED6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37A01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05EB0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1710E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EFB30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B3CFD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3A0D4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62</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1D2FC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88</w:t>
            </w:r>
          </w:p>
        </w:tc>
      </w:tr>
      <w:tr w:rsidR="008F352C" w:rsidRPr="0036523A" w14:paraId="5A9F0AD5"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BC628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Morning Stiffness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1C8EF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A55CD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E880E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A5BFA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B5A00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C87E1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99FA8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59</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2C82B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80</w:t>
            </w:r>
          </w:p>
        </w:tc>
      </w:tr>
      <w:tr w:rsidR="008F352C" w:rsidRPr="0036523A" w14:paraId="2657E90B"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6F663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Memory Impairment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B242B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B58F4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45ED1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A42B9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2A3E1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9BDAC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84</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2504D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81</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38AD2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80</w:t>
            </w:r>
          </w:p>
        </w:tc>
      </w:tr>
      <w:tr w:rsidR="008F352C" w:rsidRPr="0036523A" w14:paraId="1633E479"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941B3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 xml:space="preserve">Difficulty Concentrating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E607F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CC84E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1309E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6FAC0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282CF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52BD9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35</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3F9E2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83</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A3DBC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82</w:t>
            </w:r>
          </w:p>
        </w:tc>
      </w:tr>
      <w:tr w:rsidR="008F352C" w:rsidRPr="0036523A" w14:paraId="144593AA"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D0B4B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Confusion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B2E57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19FD8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1F916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19540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B9CBA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26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C61B6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24</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1653E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66</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9D86B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72</w:t>
            </w:r>
          </w:p>
        </w:tc>
      </w:tr>
      <w:tr w:rsidR="008F352C" w:rsidRPr="0036523A" w14:paraId="5E0BA105" w14:textId="77777777" w:rsidTr="00684D56">
        <w:trPr>
          <w:trHeight w:val="45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3EA65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Decreased Word Finding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81342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BB558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CCD1D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9B0EF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9A7FE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29E77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A251B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80</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25D93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84</w:t>
            </w:r>
          </w:p>
        </w:tc>
      </w:tr>
      <w:tr w:rsidR="008F352C" w:rsidRPr="0036523A" w14:paraId="44FB3DB7"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2D2EE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Decreased Assimilation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6E69C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DDDBB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434AE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9C918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8892B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711B5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32E6E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78</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D0B6A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88</w:t>
            </w:r>
          </w:p>
        </w:tc>
      </w:tr>
      <w:tr w:rsidR="008F352C" w:rsidRPr="0036523A" w14:paraId="6D523697"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7B7FA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Disorientation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DD124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12AA6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20C46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1B951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33359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9C08C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0A484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28</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82F73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33</w:t>
            </w:r>
          </w:p>
        </w:tc>
      </w:tr>
      <w:tr w:rsidR="008F352C" w:rsidRPr="0036523A" w14:paraId="37F857DE"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05419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Mood Swings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B2AFC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0F12C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20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513FA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04BDC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F0F3F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CB92C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CA026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42</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CA1E4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65</w:t>
            </w:r>
          </w:p>
        </w:tc>
      </w:tr>
      <w:tr w:rsidR="008F352C" w:rsidRPr="0036523A" w14:paraId="4B80F145"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4FC3F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Appetite Swings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1E2FF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2361B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685F6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21D06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4510A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9BCB1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CA88E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61</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F28FB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77</w:t>
            </w:r>
          </w:p>
        </w:tc>
      </w:tr>
      <w:tr w:rsidR="008F352C" w:rsidRPr="0036523A" w14:paraId="4498F711"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B4B2F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Sweats (Night)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4291D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E18BF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C4738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90DD3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83FC86"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7B5D3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B4300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42</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A4713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68</w:t>
            </w:r>
          </w:p>
        </w:tc>
      </w:tr>
      <w:tr w:rsidR="008F352C" w:rsidRPr="0036523A" w14:paraId="42266D73" w14:textId="77777777" w:rsidTr="00684D56">
        <w:trPr>
          <w:trHeight w:val="45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4B331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Difficulty Reg. Body Temp</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F328F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771CA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93818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DD9EE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25722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9966D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0C003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67</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70598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72</w:t>
            </w:r>
          </w:p>
        </w:tc>
      </w:tr>
      <w:tr w:rsidR="008F352C" w:rsidRPr="0036523A" w14:paraId="600752BB"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41A879"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Excessive Thirst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E8FFA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A561E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A9641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70736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0936F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8DE90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30DEB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59</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DE2A3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71</w:t>
            </w:r>
          </w:p>
        </w:tc>
      </w:tr>
      <w:tr w:rsidR="008F352C" w:rsidRPr="0036523A" w14:paraId="6981765F" w14:textId="77777777" w:rsidTr="00684D56">
        <w:trPr>
          <w:trHeight w:val="45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FDB15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Increased Urinary Frequency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89358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D7CE4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11E0F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EF8B9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CBEEDC"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974C2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526DE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66</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4E4388"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75</w:t>
            </w:r>
          </w:p>
        </w:tc>
      </w:tr>
      <w:tr w:rsidR="008F352C" w:rsidRPr="0036523A" w14:paraId="0864BD65" w14:textId="77777777" w:rsidTr="00684D56">
        <w:trPr>
          <w:trHeight w:val="45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A6FCA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 xml:space="preserve">Increased Susceptibility to Static Shocks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38040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FEC36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9B17D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EF642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E146F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6B562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D5F941"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38</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C8049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32</w:t>
            </w:r>
          </w:p>
        </w:tc>
      </w:tr>
      <w:tr w:rsidR="008F352C" w:rsidRPr="0036523A" w14:paraId="21587C15"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C2896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Numbness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1F349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30CFA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9B3B3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3BAF6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C5F1F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DF825F"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99257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74</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40285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66</w:t>
            </w:r>
          </w:p>
        </w:tc>
      </w:tr>
      <w:tr w:rsidR="008F352C" w:rsidRPr="0036523A" w14:paraId="5240D832"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9CE97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Tingling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B4C6F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425BB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C5F8E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61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EA0224"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51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610B9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05E0D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8F7B3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78</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7792A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71</w:t>
            </w:r>
          </w:p>
        </w:tc>
      </w:tr>
      <w:tr w:rsidR="008F352C" w:rsidRPr="0036523A" w14:paraId="3D2604AC"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B2C85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Vertigo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BD553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7B69D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971EF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8AB6E0"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96997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8A9897"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16</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0CA65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29</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55DDAD"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37</w:t>
            </w:r>
          </w:p>
        </w:tc>
      </w:tr>
      <w:tr w:rsidR="008F352C" w:rsidRPr="0036523A" w14:paraId="464707F8" w14:textId="77777777" w:rsidTr="00684D56">
        <w:trPr>
          <w:trHeight w:val="233"/>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8E179E"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Metallic Taste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2D002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&lt;5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6AFC6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6101E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92237B"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67DA22"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2829E3"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DBB3A5"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46</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87940A" w14:textId="77777777" w:rsidR="008F352C" w:rsidRPr="0036523A" w:rsidRDefault="008F352C" w:rsidP="00466750">
            <w:pPr>
              <w:pStyle w:val="BodyA"/>
              <w:jc w:val="both"/>
              <w:rPr>
                <w:rFonts w:ascii="Times New Roman" w:hAnsi="Times New Roman" w:cs="Times New Roman"/>
              </w:rPr>
            </w:pPr>
            <w:r w:rsidRPr="0036523A">
              <w:rPr>
                <w:rStyle w:val="None"/>
                <w:rFonts w:ascii="Times New Roman" w:hAnsi="Times New Roman" w:cs="Times New Roman"/>
                <w:sz w:val="20"/>
                <w:szCs w:val="20"/>
              </w:rPr>
              <w:t>38</w:t>
            </w:r>
          </w:p>
        </w:tc>
      </w:tr>
    </w:tbl>
    <w:p w14:paraId="6604E0E4" w14:textId="77777777" w:rsidR="001159E0" w:rsidRDefault="001159E0" w:rsidP="00466750">
      <w:pPr>
        <w:pStyle w:val="BodyA"/>
        <w:jc w:val="both"/>
      </w:pPr>
    </w:p>
    <w:p w14:paraId="615DEB77" w14:textId="77777777" w:rsidR="0036523A" w:rsidRDefault="0036523A" w:rsidP="00466750">
      <w:pPr>
        <w:pStyle w:val="BodyA"/>
        <w:jc w:val="both"/>
        <w:rPr>
          <w:rStyle w:val="None"/>
          <w:rFonts w:ascii="Times New Roman" w:hAnsi="Times New Roman" w:cs="Times New Roman"/>
          <w:sz w:val="24"/>
          <w:szCs w:val="24"/>
        </w:rPr>
        <w:sectPr w:rsidR="0036523A" w:rsidSect="0036523A">
          <w:type w:val="continuous"/>
          <w:pgSz w:w="12240" w:h="15840"/>
          <w:pgMar w:top="1260" w:right="1440" w:bottom="1440" w:left="1440" w:header="720" w:footer="576" w:gutter="0"/>
          <w:cols w:space="720"/>
          <w:titlePg/>
          <w:docGrid w:linePitch="326"/>
        </w:sectPr>
      </w:pPr>
    </w:p>
    <w:p w14:paraId="3D7017E0" w14:textId="7F2FA1C4" w:rsidR="008F352C" w:rsidRPr="002D3A6E" w:rsidRDefault="0001712F" w:rsidP="00466750">
      <w:pPr>
        <w:pStyle w:val="BodyA"/>
        <w:jc w:val="both"/>
        <w:rPr>
          <w:rFonts w:ascii="Times New Roman" w:hAnsi="Times New Roman" w:cs="Times New Roman"/>
          <w:sz w:val="24"/>
          <w:szCs w:val="24"/>
        </w:rPr>
      </w:pPr>
      <w:r>
        <w:rPr>
          <w:rStyle w:val="None"/>
          <w:rFonts w:ascii="Times New Roman" w:hAnsi="Times New Roman" w:cs="Times New Roman"/>
          <w:sz w:val="24"/>
          <w:szCs w:val="24"/>
        </w:rPr>
        <w:t xml:space="preserve">When physicians </w:t>
      </w:r>
      <w:r w:rsidR="008F352C" w:rsidRPr="002D3A6E">
        <w:rPr>
          <w:rStyle w:val="None"/>
          <w:rFonts w:ascii="Times New Roman" w:hAnsi="Times New Roman" w:cs="Times New Roman"/>
          <w:sz w:val="24"/>
          <w:szCs w:val="24"/>
        </w:rPr>
        <w:t>use persistent health symptoms as a group of 37, recorded by a trained health care provider in a medical history (never rely solely on patient-completed checklists),</w:t>
      </w:r>
      <w:r>
        <w:rPr>
          <w:rStyle w:val="None"/>
          <w:rFonts w:ascii="Times New Roman" w:hAnsi="Times New Roman" w:cs="Times New Roman"/>
          <w:sz w:val="24"/>
          <w:szCs w:val="24"/>
        </w:rPr>
        <w:t xml:space="preserve"> individual symptoms </w:t>
      </w:r>
      <w:r w:rsidR="008F352C" w:rsidRPr="002D3A6E">
        <w:rPr>
          <w:rStyle w:val="None"/>
          <w:rFonts w:ascii="Times New Roman" w:hAnsi="Times New Roman" w:cs="Times New Roman"/>
          <w:sz w:val="24"/>
          <w:szCs w:val="24"/>
        </w:rPr>
        <w:t xml:space="preserve">can collate individual symptoms into groups, called clusters. Statistically, these clusters of symptoms, 13 in number, yield a diagnostic capability to separate out CIRS from </w:t>
      </w:r>
      <w:r>
        <w:rPr>
          <w:rStyle w:val="None"/>
          <w:rFonts w:ascii="Times New Roman" w:hAnsi="Times New Roman" w:cs="Times New Roman"/>
          <w:sz w:val="24"/>
          <w:szCs w:val="24"/>
        </w:rPr>
        <w:t>essentially all diseases. If a</w:t>
      </w:r>
      <w:r w:rsidR="00535F32">
        <w:rPr>
          <w:rStyle w:val="None"/>
          <w:rFonts w:ascii="Times New Roman" w:hAnsi="Times New Roman" w:cs="Times New Roman"/>
          <w:sz w:val="24"/>
          <w:szCs w:val="24"/>
        </w:rPr>
        <w:t>n adult</w:t>
      </w:r>
      <w:r>
        <w:rPr>
          <w:rStyle w:val="None"/>
          <w:rFonts w:ascii="Times New Roman" w:hAnsi="Times New Roman" w:cs="Times New Roman"/>
          <w:sz w:val="24"/>
          <w:szCs w:val="24"/>
        </w:rPr>
        <w:t xml:space="preserve"> patient has</w:t>
      </w:r>
      <w:r w:rsidR="008F352C" w:rsidRPr="002D3A6E">
        <w:rPr>
          <w:rStyle w:val="None"/>
          <w:rFonts w:ascii="Times New Roman" w:hAnsi="Times New Roman" w:cs="Times New Roman"/>
          <w:sz w:val="24"/>
          <w:szCs w:val="24"/>
        </w:rPr>
        <w:t xml:space="preserve"> 8 or more clusters of symptoms, the likelihood of CIRS exceeds 95%. </w:t>
      </w:r>
    </w:p>
    <w:p w14:paraId="1050CCD0" w14:textId="670B4847" w:rsidR="008F352C" w:rsidRPr="002D3A6E" w:rsidRDefault="008F352C" w:rsidP="00466750">
      <w:pPr>
        <w:pStyle w:val="BodyA"/>
        <w:jc w:val="both"/>
        <w:rPr>
          <w:rStyle w:val="None"/>
          <w:rFonts w:ascii="Times New Roman" w:hAnsi="Times New Roman" w:cs="Times New Roman"/>
          <w:sz w:val="24"/>
          <w:szCs w:val="24"/>
        </w:rPr>
      </w:pPr>
      <w:r w:rsidRPr="002D3A6E">
        <w:rPr>
          <w:rStyle w:val="None"/>
          <w:rFonts w:ascii="Times New Roman" w:hAnsi="Times New Roman" w:cs="Times New Roman"/>
          <w:sz w:val="24"/>
          <w:szCs w:val="24"/>
        </w:rPr>
        <w:t xml:space="preserve">When combined with VCS deficits, symptom clusters can yield an accuracy in diagnosis of 98.5% (that means the sum of false positives and false negatives is less than 2%). </w:t>
      </w:r>
      <w:r w:rsidR="000F0112" w:rsidRPr="002D3A6E">
        <w:rPr>
          <w:rStyle w:val="None"/>
          <w:rFonts w:ascii="Times New Roman" w:hAnsi="Times New Roman" w:cs="Times New Roman"/>
          <w:sz w:val="24"/>
          <w:szCs w:val="24"/>
        </w:rPr>
        <w:t>In the formal case definition of CIRS, however, cluster analysis</w:t>
      </w:r>
      <w:r w:rsidR="00535F32">
        <w:rPr>
          <w:rStyle w:val="None"/>
          <w:rFonts w:ascii="Times New Roman" w:hAnsi="Times New Roman" w:cs="Times New Roman"/>
          <w:sz w:val="24"/>
          <w:szCs w:val="24"/>
        </w:rPr>
        <w:t xml:space="preserve"> is performed</w:t>
      </w:r>
      <w:r w:rsidR="000F0112" w:rsidRPr="002D3A6E">
        <w:rPr>
          <w:rStyle w:val="None"/>
          <w:rFonts w:ascii="Times New Roman" w:hAnsi="Times New Roman" w:cs="Times New Roman"/>
          <w:sz w:val="24"/>
          <w:szCs w:val="24"/>
        </w:rPr>
        <w:t xml:space="preserve"> </w:t>
      </w:r>
      <w:r w:rsidR="00535F32">
        <w:rPr>
          <w:rStyle w:val="None"/>
          <w:rFonts w:ascii="Times New Roman" w:hAnsi="Times New Roman" w:cs="Times New Roman"/>
          <w:sz w:val="24"/>
          <w:szCs w:val="24"/>
        </w:rPr>
        <w:t>a</w:t>
      </w:r>
      <w:r w:rsidR="000F0112" w:rsidRPr="002D3A6E">
        <w:rPr>
          <w:rStyle w:val="None"/>
          <w:rFonts w:ascii="Times New Roman" w:hAnsi="Times New Roman" w:cs="Times New Roman"/>
          <w:sz w:val="24"/>
          <w:szCs w:val="24"/>
        </w:rPr>
        <w:t xml:space="preserve">s </w:t>
      </w:r>
      <w:r w:rsidR="00535F32">
        <w:rPr>
          <w:rStyle w:val="None"/>
          <w:rFonts w:ascii="Times New Roman" w:hAnsi="Times New Roman" w:cs="Times New Roman"/>
          <w:sz w:val="24"/>
          <w:szCs w:val="24"/>
        </w:rPr>
        <w:t>a</w:t>
      </w:r>
      <w:r w:rsidR="000F0112" w:rsidRPr="002D3A6E">
        <w:rPr>
          <w:rStyle w:val="None"/>
          <w:rFonts w:ascii="Times New Roman" w:hAnsi="Times New Roman" w:cs="Times New Roman"/>
          <w:sz w:val="24"/>
          <w:szCs w:val="24"/>
        </w:rPr>
        <w:t>n addition</w:t>
      </w:r>
      <w:r w:rsidR="00535F32">
        <w:rPr>
          <w:rStyle w:val="None"/>
          <w:rFonts w:ascii="Times New Roman" w:hAnsi="Times New Roman" w:cs="Times New Roman"/>
          <w:sz w:val="24"/>
          <w:szCs w:val="24"/>
        </w:rPr>
        <w:t>al analysis</w:t>
      </w:r>
      <w:r w:rsidR="000F0112" w:rsidRPr="002D3A6E">
        <w:rPr>
          <w:rStyle w:val="None"/>
          <w:rFonts w:ascii="Times New Roman" w:hAnsi="Times New Roman" w:cs="Times New Roman"/>
          <w:sz w:val="24"/>
          <w:szCs w:val="24"/>
        </w:rPr>
        <w:t xml:space="preserve"> to total symptoms reported.</w:t>
      </w:r>
    </w:p>
    <w:p w14:paraId="581B58C5" w14:textId="77777777" w:rsidR="00550E8A" w:rsidRDefault="00550E8A" w:rsidP="00466750">
      <w:pPr>
        <w:pStyle w:val="BodyA"/>
        <w:jc w:val="both"/>
      </w:pPr>
    </w:p>
    <w:p w14:paraId="25D42F70" w14:textId="77777777" w:rsidR="008F352C" w:rsidRPr="002D3A6E" w:rsidRDefault="008F352C" w:rsidP="00466750">
      <w:pPr>
        <w:pStyle w:val="BodyA"/>
        <w:jc w:val="both"/>
        <w:outlineLvl w:val="0"/>
        <w:rPr>
          <w:rFonts w:ascii="Times New Roman" w:hAnsi="Times New Roman" w:cs="Times New Roman"/>
          <w:sz w:val="24"/>
          <w:szCs w:val="24"/>
        </w:rPr>
      </w:pPr>
      <w:r w:rsidRPr="002D3A6E">
        <w:rPr>
          <w:rStyle w:val="None"/>
          <w:rFonts w:ascii="Times New Roman" w:hAnsi="Times New Roman" w:cs="Times New Roman"/>
          <w:b/>
          <w:bCs/>
          <w:sz w:val="24"/>
          <w:szCs w:val="24"/>
        </w:rPr>
        <w:t>Cluster Analysis of Symptoms</w:t>
      </w:r>
    </w:p>
    <w:p w14:paraId="582CA484" w14:textId="77777777" w:rsidR="008F352C" w:rsidRPr="002D3A6E" w:rsidRDefault="008F352C" w:rsidP="00466750">
      <w:pPr>
        <w:pStyle w:val="BodyA"/>
        <w:jc w:val="both"/>
        <w:outlineLvl w:val="0"/>
        <w:rPr>
          <w:rFonts w:ascii="Times New Roman" w:hAnsi="Times New Roman" w:cs="Times New Roman"/>
          <w:sz w:val="24"/>
          <w:szCs w:val="24"/>
        </w:rPr>
      </w:pPr>
      <w:r w:rsidRPr="002D3A6E">
        <w:rPr>
          <w:rStyle w:val="None"/>
          <w:rFonts w:ascii="Times New Roman" w:hAnsi="Times New Roman" w:cs="Times New Roman"/>
          <w:sz w:val="24"/>
          <w:szCs w:val="24"/>
        </w:rPr>
        <w:t xml:space="preserve">      Individual clusters (one or more symptom in a group counts as a cluster)</w:t>
      </w:r>
    </w:p>
    <w:p w14:paraId="43B04B12"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lang w:val="fr-FR"/>
        </w:rPr>
      </w:pPr>
      <w:r w:rsidRPr="002D3A6E">
        <w:rPr>
          <w:rStyle w:val="None"/>
          <w:rFonts w:ascii="Times New Roman" w:hAnsi="Times New Roman" w:cs="Times New Roman"/>
          <w:sz w:val="24"/>
          <w:szCs w:val="24"/>
          <w:lang w:val="fr-FR"/>
        </w:rPr>
        <w:t>Fatigue</w:t>
      </w:r>
    </w:p>
    <w:p w14:paraId="5D3CD9B0"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rPr>
      </w:pPr>
      <w:r w:rsidRPr="00B63947">
        <w:rPr>
          <w:rFonts w:ascii="Times New Roman" w:hAnsi="Times New Roman" w:cs="Times New Roman"/>
          <w:sz w:val="24"/>
          <w:szCs w:val="24"/>
        </w:rPr>
        <w:t>Weakness, assimilation, aching, headache, light sensitivity</w:t>
      </w:r>
    </w:p>
    <w:p w14:paraId="02782137"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rPr>
      </w:pPr>
      <w:r w:rsidRPr="00B63947">
        <w:rPr>
          <w:rFonts w:ascii="Times New Roman" w:hAnsi="Times New Roman" w:cs="Times New Roman"/>
          <w:sz w:val="24"/>
          <w:szCs w:val="24"/>
        </w:rPr>
        <w:t>Memory, word finding</w:t>
      </w:r>
    </w:p>
    <w:p w14:paraId="559EDA26"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lang w:val="fr-FR"/>
        </w:rPr>
      </w:pPr>
      <w:r w:rsidRPr="002D3A6E">
        <w:rPr>
          <w:rStyle w:val="None"/>
          <w:rFonts w:ascii="Times New Roman" w:hAnsi="Times New Roman" w:cs="Times New Roman"/>
          <w:sz w:val="24"/>
          <w:szCs w:val="24"/>
          <w:lang w:val="fr-FR"/>
        </w:rPr>
        <w:t>Concentration</w:t>
      </w:r>
    </w:p>
    <w:p w14:paraId="4A23D33A" w14:textId="309599E0" w:rsidR="008F352C" w:rsidRPr="00B63947" w:rsidRDefault="00DB6617" w:rsidP="00466750">
      <w:pPr>
        <w:pStyle w:val="BodyA"/>
        <w:numPr>
          <w:ilvl w:val="0"/>
          <w:numId w:val="4"/>
        </w:numPr>
        <w:spacing w:after="0"/>
        <w:jc w:val="both"/>
        <w:rPr>
          <w:rFonts w:ascii="Times New Roman" w:hAnsi="Times New Roman" w:cs="Times New Roman"/>
          <w:sz w:val="24"/>
          <w:szCs w:val="24"/>
          <w:lang w:val="de-DE"/>
        </w:rPr>
      </w:pPr>
      <w:r>
        <w:rPr>
          <w:rStyle w:val="None"/>
          <w:rFonts w:ascii="Times New Roman" w:hAnsi="Times New Roman" w:cs="Times New Roman"/>
          <w:sz w:val="24"/>
          <w:szCs w:val="24"/>
          <w:lang w:val="de-DE"/>
        </w:rPr>
        <w:t>Joint, morning</w:t>
      </w:r>
      <w:r w:rsidR="008F352C" w:rsidRPr="002D3A6E">
        <w:rPr>
          <w:rStyle w:val="None"/>
          <w:rFonts w:ascii="Times New Roman" w:hAnsi="Times New Roman" w:cs="Times New Roman"/>
          <w:sz w:val="24"/>
          <w:szCs w:val="24"/>
          <w:lang w:val="de-DE"/>
        </w:rPr>
        <w:t xml:space="preserve"> stiffness, cramps</w:t>
      </w:r>
    </w:p>
    <w:p w14:paraId="5B6B265E"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rPr>
      </w:pPr>
      <w:r w:rsidRPr="00B63947">
        <w:rPr>
          <w:rFonts w:ascii="Times New Roman" w:hAnsi="Times New Roman" w:cs="Times New Roman"/>
          <w:sz w:val="24"/>
          <w:szCs w:val="24"/>
        </w:rPr>
        <w:t>Unusual skin sensations, tingling</w:t>
      </w:r>
    </w:p>
    <w:p w14:paraId="38ABDD3C"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rPr>
      </w:pPr>
      <w:r w:rsidRPr="00B63947">
        <w:rPr>
          <w:rFonts w:ascii="Times New Roman" w:hAnsi="Times New Roman" w:cs="Times New Roman"/>
          <w:sz w:val="24"/>
          <w:szCs w:val="24"/>
        </w:rPr>
        <w:t>Shortness of breath, sinus congestion</w:t>
      </w:r>
    </w:p>
    <w:p w14:paraId="34530EA7"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rPr>
      </w:pPr>
      <w:r w:rsidRPr="00B63947">
        <w:rPr>
          <w:rFonts w:ascii="Times New Roman" w:hAnsi="Times New Roman" w:cs="Times New Roman"/>
          <w:sz w:val="24"/>
          <w:szCs w:val="24"/>
        </w:rPr>
        <w:t>Cough, thirst, confusion</w:t>
      </w:r>
    </w:p>
    <w:p w14:paraId="7165FDEC"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rPr>
      </w:pPr>
      <w:r w:rsidRPr="00B63947">
        <w:rPr>
          <w:rFonts w:ascii="Times New Roman" w:hAnsi="Times New Roman" w:cs="Times New Roman"/>
          <w:sz w:val="24"/>
          <w:szCs w:val="24"/>
        </w:rPr>
        <w:t>Appetite swings, body temperature regulation, urinary frequency</w:t>
      </w:r>
    </w:p>
    <w:p w14:paraId="70CB3E18"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rPr>
      </w:pPr>
      <w:r w:rsidRPr="00B63947">
        <w:rPr>
          <w:rFonts w:ascii="Times New Roman" w:hAnsi="Times New Roman" w:cs="Times New Roman"/>
          <w:sz w:val="24"/>
          <w:szCs w:val="24"/>
        </w:rPr>
        <w:t>Red eyes, blurred vision, sweats, mood swings, icepick pains</w:t>
      </w:r>
    </w:p>
    <w:p w14:paraId="401A0632"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rPr>
      </w:pPr>
      <w:r w:rsidRPr="00B63947">
        <w:rPr>
          <w:rFonts w:ascii="Times New Roman" w:hAnsi="Times New Roman" w:cs="Times New Roman"/>
          <w:sz w:val="24"/>
          <w:szCs w:val="24"/>
        </w:rPr>
        <w:t>Abdominal pain, diarrhea, numbness</w:t>
      </w:r>
    </w:p>
    <w:p w14:paraId="416C8029" w14:textId="77777777" w:rsidR="008F352C" w:rsidRPr="00B63947" w:rsidRDefault="008F352C" w:rsidP="00466750">
      <w:pPr>
        <w:pStyle w:val="BodyA"/>
        <w:numPr>
          <w:ilvl w:val="0"/>
          <w:numId w:val="4"/>
        </w:numPr>
        <w:spacing w:after="0"/>
        <w:jc w:val="both"/>
        <w:rPr>
          <w:rFonts w:ascii="Times New Roman" w:hAnsi="Times New Roman" w:cs="Times New Roman"/>
          <w:sz w:val="24"/>
          <w:szCs w:val="24"/>
        </w:rPr>
      </w:pPr>
      <w:r w:rsidRPr="00B63947">
        <w:rPr>
          <w:rFonts w:ascii="Times New Roman" w:hAnsi="Times New Roman" w:cs="Times New Roman"/>
          <w:sz w:val="24"/>
          <w:szCs w:val="24"/>
        </w:rPr>
        <w:t>Tearing, disorientation, metallic taste</w:t>
      </w:r>
    </w:p>
    <w:p w14:paraId="4DDACE2F" w14:textId="486B5909" w:rsidR="001159E0" w:rsidRPr="00B63947" w:rsidRDefault="008F352C" w:rsidP="00466750">
      <w:pPr>
        <w:pStyle w:val="BodyA"/>
        <w:numPr>
          <w:ilvl w:val="0"/>
          <w:numId w:val="4"/>
        </w:numPr>
        <w:spacing w:after="0"/>
        <w:jc w:val="both"/>
        <w:rPr>
          <w:rFonts w:ascii="Times New Roman" w:hAnsi="Times New Roman" w:cs="Times New Roman"/>
          <w:sz w:val="24"/>
          <w:szCs w:val="24"/>
        </w:rPr>
      </w:pPr>
      <w:r w:rsidRPr="00B63947">
        <w:rPr>
          <w:rFonts w:ascii="Times New Roman" w:hAnsi="Times New Roman" w:cs="Times New Roman"/>
          <w:sz w:val="24"/>
          <w:szCs w:val="24"/>
        </w:rPr>
        <w:t>Static shocks, vertigo</w:t>
      </w:r>
    </w:p>
    <w:p w14:paraId="59437899" w14:textId="0C76669E" w:rsidR="001159E0" w:rsidRPr="00B63947" w:rsidRDefault="001159E0" w:rsidP="00466750">
      <w:pPr>
        <w:pStyle w:val="BodyA"/>
        <w:spacing w:after="0"/>
        <w:jc w:val="both"/>
        <w:rPr>
          <w:rFonts w:ascii="Times New Roman" w:hAnsi="Times New Roman" w:cs="Times New Roman"/>
          <w:sz w:val="24"/>
          <w:szCs w:val="24"/>
        </w:rPr>
      </w:pPr>
    </w:p>
    <w:p w14:paraId="39433D30" w14:textId="0693EE76" w:rsidR="008F352C" w:rsidRPr="00EC5D61" w:rsidRDefault="001159E0" w:rsidP="00466750">
      <w:pPr>
        <w:pStyle w:val="BodyA"/>
        <w:jc w:val="both"/>
        <w:rPr>
          <w:rFonts w:ascii="Times New Roman" w:hAnsi="Times New Roman" w:cs="Times New Roman"/>
          <w:b/>
          <w:sz w:val="20"/>
          <w:szCs w:val="20"/>
        </w:rPr>
      </w:pPr>
      <w:r w:rsidRPr="00EC5D61">
        <w:rPr>
          <w:rStyle w:val="None"/>
          <w:rFonts w:ascii="Times New Roman" w:hAnsi="Times New Roman" w:cs="Times New Roman"/>
          <w:b/>
          <w:bCs/>
          <w:sz w:val="20"/>
          <w:szCs w:val="20"/>
        </w:rPr>
        <w:t xml:space="preserve">Table 2 - Cluster analysis </w:t>
      </w:r>
    </w:p>
    <w:p w14:paraId="638F31E1" w14:textId="36E0C8B4" w:rsidR="008F352C" w:rsidRDefault="008F352C" w:rsidP="00466750">
      <w:pPr>
        <w:pStyle w:val="BodyA"/>
        <w:jc w:val="both"/>
        <w:rPr>
          <w:rStyle w:val="None"/>
          <w:rFonts w:ascii="Times New Roman" w:hAnsi="Times New Roman" w:cs="Times New Roman"/>
          <w:sz w:val="24"/>
          <w:szCs w:val="24"/>
        </w:rPr>
      </w:pPr>
      <w:r w:rsidRPr="002D3A6E">
        <w:rPr>
          <w:rStyle w:val="None"/>
          <w:rFonts w:ascii="Times New Roman" w:hAnsi="Times New Roman" w:cs="Times New Roman"/>
          <w:sz w:val="24"/>
          <w:szCs w:val="24"/>
        </w:rPr>
        <w:t xml:space="preserve">A positive cluster analysis for biotoxin illness is presence of 8 or more of 13 clusters. For pediatric patients, </w:t>
      </w:r>
      <w:r w:rsidR="002C487C">
        <w:rPr>
          <w:rStyle w:val="None"/>
          <w:rFonts w:ascii="Times New Roman" w:hAnsi="Times New Roman" w:cs="Times New Roman"/>
          <w:sz w:val="24"/>
          <w:szCs w:val="24"/>
        </w:rPr>
        <w:t>6</w:t>
      </w:r>
      <w:r w:rsidR="00D253BF">
        <w:rPr>
          <w:rStyle w:val="None"/>
          <w:rFonts w:ascii="Times New Roman" w:hAnsi="Times New Roman" w:cs="Times New Roman"/>
          <w:sz w:val="24"/>
          <w:szCs w:val="24"/>
        </w:rPr>
        <w:t xml:space="preserve"> </w:t>
      </w:r>
      <w:r w:rsidRPr="002D3A6E">
        <w:rPr>
          <w:rStyle w:val="None"/>
          <w:rFonts w:ascii="Times New Roman" w:hAnsi="Times New Roman" w:cs="Times New Roman"/>
          <w:sz w:val="24"/>
          <w:szCs w:val="24"/>
        </w:rPr>
        <w:t xml:space="preserve">clusters </w:t>
      </w:r>
      <w:r w:rsidR="00037AB7" w:rsidRPr="00037AB7">
        <w:rPr>
          <w:rStyle w:val="None"/>
          <w:rFonts w:ascii="Times New Roman" w:hAnsi="Times New Roman" w:cs="Times New Roman"/>
          <w:sz w:val="24"/>
          <w:szCs w:val="24"/>
        </w:rPr>
        <w:t>are</w:t>
      </w:r>
      <w:r w:rsidRPr="002D3A6E">
        <w:rPr>
          <w:rStyle w:val="None"/>
          <w:rFonts w:ascii="Times New Roman" w:hAnsi="Times New Roman" w:cs="Times New Roman"/>
          <w:sz w:val="24"/>
          <w:szCs w:val="24"/>
        </w:rPr>
        <w:t xml:space="preserve"> adequate to support a CIRS diagnosis.</w:t>
      </w:r>
    </w:p>
    <w:p w14:paraId="68806400" w14:textId="77777777" w:rsidR="00535F32" w:rsidRPr="002D3A6E" w:rsidRDefault="00535F32" w:rsidP="00466750">
      <w:pPr>
        <w:pStyle w:val="BodyA"/>
        <w:jc w:val="both"/>
        <w:rPr>
          <w:rFonts w:ascii="Times New Roman" w:hAnsi="Times New Roman" w:cs="Times New Roman"/>
          <w:sz w:val="24"/>
          <w:szCs w:val="24"/>
        </w:rPr>
      </w:pPr>
    </w:p>
    <w:p w14:paraId="07795D9B" w14:textId="7AAF49D1" w:rsidR="008F352C" w:rsidRPr="002D3A6E" w:rsidRDefault="0001712F" w:rsidP="00466750">
      <w:pPr>
        <w:pStyle w:val="BodyA"/>
        <w:jc w:val="both"/>
        <w:rPr>
          <w:rFonts w:ascii="Times New Roman" w:hAnsi="Times New Roman" w:cs="Times New Roman"/>
          <w:sz w:val="24"/>
          <w:szCs w:val="24"/>
        </w:rPr>
      </w:pPr>
      <w:r>
        <w:rPr>
          <w:rStyle w:val="None"/>
          <w:rFonts w:ascii="Times New Roman" w:hAnsi="Times New Roman" w:cs="Times New Roman"/>
          <w:sz w:val="24"/>
          <w:szCs w:val="24"/>
        </w:rPr>
        <w:t xml:space="preserve">CIRS providers </w:t>
      </w:r>
      <w:r w:rsidR="008F352C" w:rsidRPr="002D3A6E">
        <w:rPr>
          <w:rStyle w:val="None"/>
          <w:rFonts w:ascii="Times New Roman" w:hAnsi="Times New Roman" w:cs="Times New Roman"/>
          <w:sz w:val="24"/>
          <w:szCs w:val="24"/>
        </w:rPr>
        <w:t>have looked at symptoms described by character, including fatigue, weakness and executive cognitive dysfunction. The results are underwhelming, except for pain.</w:t>
      </w:r>
    </w:p>
    <w:p w14:paraId="5608C71E" w14:textId="2617E36C"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In a medical history, the physician is not using a check list. Symptoms questioning is perhaps better understood after observing how a skilled attorney will question a witness. Essentially, he will likely be asking for the same information from multiple different angles trying to have a clear idea of what the witness </w:t>
      </w:r>
      <w:r w:rsidR="00AE3991" w:rsidRPr="002D3A6E">
        <w:rPr>
          <w:rStyle w:val="None"/>
          <w:rFonts w:ascii="Times New Roman" w:hAnsi="Times New Roman" w:cs="Times New Roman"/>
          <w:sz w:val="24"/>
          <w:szCs w:val="24"/>
        </w:rPr>
        <w:t>says</w:t>
      </w:r>
      <w:r w:rsidRPr="002D3A6E">
        <w:rPr>
          <w:rStyle w:val="None"/>
          <w:rFonts w:ascii="Times New Roman" w:hAnsi="Times New Roman" w:cs="Times New Roman"/>
          <w:sz w:val="24"/>
          <w:szCs w:val="24"/>
        </w:rPr>
        <w:t>. Similarly, a physician will follow the line of thought of a patient in discussing symptoms but will circle back to pin down any possible vagaries that might be present. In this manner, a physician will learn to a reasonable degree of medical certainty, more likely than not, on a day to day basis, does a patient have muscle aching? Does a patient have muscle cramps? Are there unusual pains, sharp stabbing pains that seemingly come unexpectedly and lancinate in one area of the body only to disappear and reappear elsewhere the next day? This type of pain description is typical of what CIRS patients experience-and is not confabulated-but will sound odd to the unaware physician.</w:t>
      </w:r>
    </w:p>
    <w:p w14:paraId="29CBB280" w14:textId="12851481"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During the pain interview with a CIRS patient, ask about unusual posturing of fingers or toes, sometimes called “clawing.” These involuntary spasms in small muscles of fingers and toes can be painful; and are certainly unusual elements of history. Some patients will have their long and fourth finger split apart making a sign of a V as we saw so often from Mr. Spock in Star Trek. Sometimes there will be arching of the MCP and MTP joints as well. If you do not ask about clawing, you w</w:t>
      </w:r>
      <w:r w:rsidR="0094261D" w:rsidRPr="002D3A6E">
        <w:rPr>
          <w:rStyle w:val="None"/>
          <w:rFonts w:ascii="Times New Roman" w:hAnsi="Times New Roman" w:cs="Times New Roman"/>
          <w:sz w:val="24"/>
          <w:szCs w:val="24"/>
        </w:rPr>
        <w:t xml:space="preserve">ill </w:t>
      </w:r>
      <w:r w:rsidRPr="002D3A6E">
        <w:rPr>
          <w:rStyle w:val="None"/>
          <w:rFonts w:ascii="Times New Roman" w:hAnsi="Times New Roman" w:cs="Times New Roman"/>
          <w:sz w:val="24"/>
          <w:szCs w:val="24"/>
        </w:rPr>
        <w:t>n</w:t>
      </w:r>
      <w:r w:rsidR="0094261D" w:rsidRPr="002D3A6E">
        <w:rPr>
          <w:rStyle w:val="None"/>
          <w:rFonts w:ascii="Times New Roman" w:hAnsi="Times New Roman" w:cs="Times New Roman"/>
          <w:sz w:val="24"/>
          <w:szCs w:val="24"/>
        </w:rPr>
        <w:t>o</w:t>
      </w:r>
      <w:r w:rsidRPr="002D3A6E">
        <w:rPr>
          <w:rStyle w:val="None"/>
          <w:rFonts w:ascii="Times New Roman" w:hAnsi="Times New Roman" w:cs="Times New Roman"/>
          <w:sz w:val="24"/>
          <w:szCs w:val="24"/>
        </w:rPr>
        <w:t xml:space="preserve">t be told. Patients will recognize a </w:t>
      </w:r>
      <w:r w:rsidR="00037AB7" w:rsidRPr="00037AB7">
        <w:rPr>
          <w:rStyle w:val="None"/>
          <w:rFonts w:ascii="Times New Roman" w:hAnsi="Times New Roman" w:cs="Times New Roman"/>
          <w:sz w:val="24"/>
          <w:szCs w:val="24"/>
        </w:rPr>
        <w:t>physician as</w:t>
      </w:r>
      <w:r w:rsidR="008050E9" w:rsidRPr="002D3A6E">
        <w:rPr>
          <w:rStyle w:val="None"/>
          <w:rFonts w:ascii="Times New Roman" w:hAnsi="Times New Roman" w:cs="Times New Roman"/>
          <w:sz w:val="24"/>
          <w:szCs w:val="24"/>
        </w:rPr>
        <w:t xml:space="preserve"> an insightful historian when he knows to ask the “odd” questions about odd symptoms</w:t>
      </w:r>
      <w:r w:rsidRPr="002D3A6E">
        <w:rPr>
          <w:rStyle w:val="None"/>
          <w:rFonts w:ascii="Times New Roman" w:hAnsi="Times New Roman" w:cs="Times New Roman"/>
          <w:sz w:val="24"/>
          <w:szCs w:val="24"/>
        </w:rPr>
        <w:t>, describing clawing in particular.</w:t>
      </w:r>
    </w:p>
    <w:p w14:paraId="068BA1DC" w14:textId="77777777"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Muscle cramping is a common problem in athletes (and CIRS patients!). How many times have we seen a star basketball player clutching at his calves in the middle of the 3</w:t>
      </w:r>
      <w:r w:rsidRPr="002D3A6E">
        <w:rPr>
          <w:rStyle w:val="None"/>
          <w:rFonts w:ascii="Times New Roman" w:hAnsi="Times New Roman" w:cs="Times New Roman"/>
          <w:sz w:val="24"/>
          <w:szCs w:val="24"/>
          <w:vertAlign w:val="superscript"/>
        </w:rPr>
        <w:t>rd</w:t>
      </w:r>
      <w:r w:rsidRPr="002D3A6E">
        <w:rPr>
          <w:rStyle w:val="None"/>
          <w:rFonts w:ascii="Times New Roman" w:hAnsi="Times New Roman" w:cs="Times New Roman"/>
          <w:sz w:val="24"/>
          <w:szCs w:val="24"/>
        </w:rPr>
        <w:t xml:space="preserve"> quarter of a heated basketball game? Cramps are disabling!  </w:t>
      </w:r>
    </w:p>
    <w:p w14:paraId="35CD21BB" w14:textId="7E12721D"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The calf cramps CIRS patients often have are not related to heat or to exertion. They are far more commonly brought on by lying down in bed or upon arising from sleep. The cramp is a muscle spasm; CIRS patients quickly learn that the spasm experienced in the middle of the night can be severe, especially if they have been sleeping with their ankles extended. Simple dorsiflexion of the ankles, stretching, for example, is mandatory but sometimes the spasm is so severe the gastrocnemius muscle essentially twists into a knot, occasionally tearing. In the middle of the night, that pain is agonizing. If you do</w:t>
      </w:r>
      <w:r w:rsidR="0094261D" w:rsidRPr="002D3A6E">
        <w:rPr>
          <w:rStyle w:val="None"/>
          <w:rFonts w:ascii="Times New Roman" w:hAnsi="Times New Roman" w:cs="Times New Roman"/>
          <w:sz w:val="24"/>
          <w:szCs w:val="24"/>
        </w:rPr>
        <w:t xml:space="preserve"> </w:t>
      </w:r>
      <w:r w:rsidRPr="002D3A6E">
        <w:rPr>
          <w:rStyle w:val="None"/>
          <w:rFonts w:ascii="Times New Roman" w:hAnsi="Times New Roman" w:cs="Times New Roman"/>
          <w:sz w:val="24"/>
          <w:szCs w:val="24"/>
        </w:rPr>
        <w:t>n</w:t>
      </w:r>
      <w:r w:rsidR="0094261D" w:rsidRPr="002D3A6E">
        <w:rPr>
          <w:rStyle w:val="None"/>
          <w:rFonts w:ascii="Times New Roman" w:hAnsi="Times New Roman" w:cs="Times New Roman"/>
          <w:sz w:val="24"/>
          <w:szCs w:val="24"/>
        </w:rPr>
        <w:t>o</w:t>
      </w:r>
      <w:r w:rsidRPr="002D3A6E">
        <w:rPr>
          <w:rStyle w:val="None"/>
          <w:rFonts w:ascii="Times New Roman" w:hAnsi="Times New Roman" w:cs="Times New Roman"/>
          <w:sz w:val="24"/>
          <w:szCs w:val="24"/>
        </w:rPr>
        <w:t xml:space="preserve">t ask about cramps like </w:t>
      </w:r>
      <w:r w:rsidR="00535F32" w:rsidRPr="002D3A6E">
        <w:rPr>
          <w:rStyle w:val="None"/>
          <w:rFonts w:ascii="Times New Roman" w:hAnsi="Times New Roman" w:cs="Times New Roman"/>
          <w:sz w:val="24"/>
          <w:szCs w:val="24"/>
        </w:rPr>
        <w:t>these,</w:t>
      </w:r>
      <w:r w:rsidRPr="002D3A6E">
        <w:rPr>
          <w:rStyle w:val="None"/>
          <w:rFonts w:ascii="Times New Roman" w:hAnsi="Times New Roman" w:cs="Times New Roman"/>
          <w:sz w:val="24"/>
          <w:szCs w:val="24"/>
        </w:rPr>
        <w:t xml:space="preserve"> you will not be told. Physicians just are not taught to take CIRS spasm histories. The spasms are real.</w:t>
      </w:r>
    </w:p>
    <w:p w14:paraId="1993CE3D" w14:textId="6E1EE62E"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Joint stiffness is what </w:t>
      </w:r>
      <w:r w:rsidR="0001712F">
        <w:rPr>
          <w:rStyle w:val="None"/>
          <w:rFonts w:ascii="Times New Roman" w:hAnsi="Times New Roman" w:cs="Times New Roman"/>
          <w:sz w:val="24"/>
          <w:szCs w:val="24"/>
        </w:rPr>
        <w:t xml:space="preserve">is </w:t>
      </w:r>
      <w:r w:rsidRPr="002D3A6E">
        <w:rPr>
          <w:rStyle w:val="None"/>
          <w:rFonts w:ascii="Times New Roman" w:hAnsi="Times New Roman" w:cs="Times New Roman"/>
          <w:sz w:val="24"/>
          <w:szCs w:val="24"/>
        </w:rPr>
        <w:t>see</w:t>
      </w:r>
      <w:r w:rsidR="0001712F">
        <w:rPr>
          <w:rStyle w:val="None"/>
          <w:rFonts w:ascii="Times New Roman" w:hAnsi="Times New Roman" w:cs="Times New Roman"/>
          <w:sz w:val="24"/>
          <w:szCs w:val="24"/>
        </w:rPr>
        <w:t>n</w:t>
      </w:r>
      <w:r w:rsidRPr="002D3A6E">
        <w:rPr>
          <w:rStyle w:val="None"/>
          <w:rFonts w:ascii="Times New Roman" w:hAnsi="Times New Roman" w:cs="Times New Roman"/>
          <w:sz w:val="24"/>
          <w:szCs w:val="24"/>
        </w:rPr>
        <w:t xml:space="preserve"> often in CIRS as well as in day to day musculoskeletal medical practice. Stretching upon arising is a common way to start the day for both types of patients. Shoulders, elbows, knees, low back, all will require some sort of attention. The rate of stiffening, however, with </w:t>
      </w:r>
      <w:r w:rsidRPr="002D3A6E">
        <w:rPr>
          <w:rStyle w:val="None"/>
          <w:rFonts w:ascii="Times New Roman" w:hAnsi="Times New Roman" w:cs="Times New Roman"/>
          <w:i/>
          <w:iCs/>
          <w:sz w:val="24"/>
          <w:szCs w:val="24"/>
          <w:lang w:val="it-IT"/>
        </w:rPr>
        <w:t>cessation</w:t>
      </w:r>
      <w:r w:rsidRPr="002D3A6E">
        <w:rPr>
          <w:rStyle w:val="None"/>
          <w:rFonts w:ascii="Times New Roman" w:hAnsi="Times New Roman" w:cs="Times New Roman"/>
          <w:sz w:val="24"/>
          <w:szCs w:val="24"/>
        </w:rPr>
        <w:t xml:space="preserve"> of activity, called “gelling,” is far faster in CIRS than it is for patients with wear and tear degenerative a</w:t>
      </w:r>
      <w:r w:rsidR="0001712F">
        <w:rPr>
          <w:rStyle w:val="None"/>
          <w:rFonts w:ascii="Times New Roman" w:hAnsi="Times New Roman" w:cs="Times New Roman"/>
          <w:sz w:val="24"/>
          <w:szCs w:val="24"/>
        </w:rPr>
        <w:t>rthritis. If a patient says</w:t>
      </w:r>
      <w:r w:rsidRPr="002D3A6E">
        <w:rPr>
          <w:rStyle w:val="None"/>
          <w:rFonts w:ascii="Times New Roman" w:hAnsi="Times New Roman" w:cs="Times New Roman"/>
          <w:sz w:val="24"/>
          <w:szCs w:val="24"/>
        </w:rPr>
        <w:t xml:space="preserve"> that he would prefer to stay standing after activity rather than sit down and rest that may be an indication of his awareness of his own rate of gelling. </w:t>
      </w:r>
    </w:p>
    <w:p w14:paraId="565BC2B1" w14:textId="77777777"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Aching is perhaps the most common CIRS pain. Not from over-doing the work in the yard or trying to work out excessively, muscle aching can be vague until the aching occurs almost every day regardless of antecedent activity, but not in the same area and not with the same intensity. CIRS aching will not respond to most meds, including NSAID. The aching often comes from areas of muscle insertion on tendons, raising the concern re: enthesopathies. The enthesium has reduced blood supply and reduced capillary perfusion to begin with; inflammatory responses in CIRS make capillary hypoperfusion worse. Pain will be enhanced in the face of hypoperfusion. If one sees an enthesopathy (extensor epicondylitis, patellar tendinitis, Achilles tendinitis, and more) but does not find a convincing history of overuse, spend a few minutes exploring the rest of the CIRS symptom roster with the patient.</w:t>
      </w:r>
    </w:p>
    <w:p w14:paraId="51780636" w14:textId="12C20A8A" w:rsidR="00425652" w:rsidRDefault="0001712F" w:rsidP="00466750">
      <w:pPr>
        <w:pStyle w:val="BodyA"/>
        <w:jc w:val="both"/>
        <w:rPr>
          <w:rStyle w:val="None"/>
          <w:rFonts w:ascii="Times New Roman" w:hAnsi="Times New Roman" w:cs="Times New Roman"/>
          <w:sz w:val="24"/>
          <w:szCs w:val="24"/>
        </w:rPr>
      </w:pPr>
      <w:r>
        <w:rPr>
          <w:rStyle w:val="None"/>
          <w:rFonts w:ascii="Times New Roman" w:hAnsi="Times New Roman" w:cs="Times New Roman"/>
          <w:sz w:val="24"/>
          <w:szCs w:val="24"/>
        </w:rPr>
        <w:t xml:space="preserve">As </w:t>
      </w:r>
      <w:r w:rsidR="005D599B">
        <w:rPr>
          <w:rStyle w:val="None"/>
          <w:rFonts w:ascii="Times New Roman" w:hAnsi="Times New Roman" w:cs="Times New Roman"/>
          <w:sz w:val="24"/>
          <w:szCs w:val="24"/>
        </w:rPr>
        <w:t xml:space="preserve">will </w:t>
      </w:r>
      <w:r>
        <w:rPr>
          <w:rStyle w:val="None"/>
          <w:rFonts w:ascii="Times New Roman" w:hAnsi="Times New Roman" w:cs="Times New Roman"/>
          <w:sz w:val="24"/>
          <w:szCs w:val="24"/>
        </w:rPr>
        <w:t xml:space="preserve">be </w:t>
      </w:r>
      <w:r w:rsidR="005D599B">
        <w:rPr>
          <w:rStyle w:val="None"/>
          <w:rFonts w:ascii="Times New Roman" w:hAnsi="Times New Roman" w:cs="Times New Roman"/>
          <w:sz w:val="24"/>
          <w:szCs w:val="24"/>
        </w:rPr>
        <w:t>discuss</w:t>
      </w:r>
      <w:r>
        <w:rPr>
          <w:rStyle w:val="None"/>
          <w:rFonts w:ascii="Times New Roman" w:hAnsi="Times New Roman" w:cs="Times New Roman"/>
          <w:sz w:val="24"/>
          <w:szCs w:val="24"/>
        </w:rPr>
        <w:t>ed</w:t>
      </w:r>
      <w:r w:rsidR="005D599B">
        <w:rPr>
          <w:rStyle w:val="None"/>
          <w:rFonts w:ascii="Times New Roman" w:hAnsi="Times New Roman" w:cs="Times New Roman"/>
          <w:sz w:val="24"/>
          <w:szCs w:val="24"/>
        </w:rPr>
        <w:t xml:space="preserve"> in the section on</w:t>
      </w:r>
      <w:r w:rsidR="008F352C" w:rsidRPr="002D3A6E">
        <w:rPr>
          <w:rStyle w:val="None"/>
          <w:rFonts w:ascii="Times New Roman" w:hAnsi="Times New Roman" w:cs="Times New Roman"/>
          <w:sz w:val="24"/>
          <w:szCs w:val="24"/>
        </w:rPr>
        <w:t xml:space="preserve"> transcriptomics, down</w:t>
      </w:r>
      <w:r w:rsidR="00185E21">
        <w:rPr>
          <w:rStyle w:val="None"/>
          <w:rFonts w:ascii="Times New Roman" w:hAnsi="Times New Roman" w:cs="Times New Roman"/>
          <w:sz w:val="24"/>
          <w:szCs w:val="24"/>
        </w:rPr>
        <w:t>-</w:t>
      </w:r>
      <w:r w:rsidR="008F352C" w:rsidRPr="002D3A6E">
        <w:rPr>
          <w:rStyle w:val="None"/>
          <w:rFonts w:ascii="Times New Roman" w:hAnsi="Times New Roman" w:cs="Times New Roman"/>
          <w:sz w:val="24"/>
          <w:szCs w:val="24"/>
        </w:rPr>
        <w:t xml:space="preserve">regulation of nuclear encoded mitochondrial genes can be profound. Instead of postulating </w:t>
      </w:r>
      <w:r w:rsidR="008F352C" w:rsidRPr="002D3A6E">
        <w:rPr>
          <w:rStyle w:val="None"/>
          <w:rFonts w:ascii="Times New Roman" w:hAnsi="Times New Roman" w:cs="Times New Roman"/>
          <w:i/>
          <w:iCs/>
          <w:sz w:val="24"/>
          <w:szCs w:val="24"/>
          <w:lang w:val="de-DE"/>
        </w:rPr>
        <w:t>intrinsic</w:t>
      </w:r>
      <w:r w:rsidR="008F352C" w:rsidRPr="002D3A6E">
        <w:rPr>
          <w:rStyle w:val="None"/>
          <w:rFonts w:ascii="Times New Roman" w:hAnsi="Times New Roman" w:cs="Times New Roman"/>
          <w:sz w:val="24"/>
          <w:szCs w:val="24"/>
        </w:rPr>
        <w:t xml:space="preserve"> mitochondrial disorders leading to abnormal mitochondrial metabolism of glucose, leading to lactic acid accumulation, a better approach is to recognize that nuclear transcription factors exert direct effect on mitochondrial function. By recording nuclear encoded mitochondrial gene activation, using transcriptomics, the physician can understand reduced energy delivery is abnormal due to aberrant genomic con</w:t>
      </w:r>
      <w:r w:rsidR="005D599B">
        <w:rPr>
          <w:rStyle w:val="None"/>
          <w:rFonts w:ascii="Times New Roman" w:hAnsi="Times New Roman" w:cs="Times New Roman"/>
          <w:sz w:val="24"/>
          <w:szCs w:val="24"/>
        </w:rPr>
        <w:t>trol. Still, whatever causes</w:t>
      </w:r>
      <w:r w:rsidR="008F352C" w:rsidRPr="002D3A6E">
        <w:rPr>
          <w:rStyle w:val="None"/>
          <w:rFonts w:ascii="Times New Roman" w:hAnsi="Times New Roman" w:cs="Times New Roman"/>
          <w:sz w:val="24"/>
          <w:szCs w:val="24"/>
        </w:rPr>
        <w:t xml:space="preserve"> lactic acid accumulation, excessive lactic acid in capillary beds is a source of muscle pain, including aching.</w:t>
      </w:r>
    </w:p>
    <w:p w14:paraId="3112D837" w14:textId="77777777" w:rsidR="00247CE5" w:rsidRPr="002D3A6E" w:rsidRDefault="00247CE5" w:rsidP="00466750">
      <w:pPr>
        <w:pStyle w:val="BodyA"/>
        <w:jc w:val="both"/>
        <w:rPr>
          <w:rFonts w:ascii="Times New Roman" w:hAnsi="Times New Roman" w:cs="Times New Roman"/>
          <w:sz w:val="24"/>
          <w:szCs w:val="24"/>
        </w:rPr>
      </w:pPr>
    </w:p>
    <w:p w14:paraId="19E87422" w14:textId="5FFE1FF5" w:rsidR="008F352C" w:rsidRPr="002D3A6E" w:rsidRDefault="008F352C" w:rsidP="00466750">
      <w:pPr>
        <w:pStyle w:val="BodyA"/>
        <w:jc w:val="both"/>
        <w:rPr>
          <w:rFonts w:ascii="Times New Roman" w:hAnsi="Times New Roman" w:cs="Times New Roman"/>
          <w:sz w:val="24"/>
          <w:szCs w:val="24"/>
        </w:rPr>
      </w:pPr>
      <w:r w:rsidRPr="002D3A6E">
        <w:rPr>
          <w:rStyle w:val="None"/>
          <w:rFonts w:ascii="Times New Roman" w:hAnsi="Times New Roman" w:cs="Times New Roman"/>
          <w:sz w:val="24"/>
          <w:szCs w:val="24"/>
        </w:rPr>
        <w:t>Understanding that mitochondrial resear</w:t>
      </w:r>
      <w:r w:rsidR="00425652">
        <w:rPr>
          <w:rStyle w:val="None"/>
          <w:rFonts w:ascii="Times New Roman" w:hAnsi="Times New Roman" w:cs="Times New Roman"/>
          <w:sz w:val="24"/>
          <w:szCs w:val="24"/>
        </w:rPr>
        <w:t>ch is ongoing (17</w:t>
      </w:r>
      <w:r w:rsidRPr="002D3A6E">
        <w:rPr>
          <w:rStyle w:val="None"/>
          <w:rFonts w:ascii="Times New Roman" w:hAnsi="Times New Roman" w:cs="Times New Roman"/>
          <w:sz w:val="24"/>
          <w:szCs w:val="24"/>
        </w:rPr>
        <w:t>) looking at</w:t>
      </w:r>
      <w:r w:rsidR="00425652">
        <w:rPr>
          <w:rStyle w:val="None"/>
          <w:rFonts w:ascii="Times New Roman" w:hAnsi="Times New Roman" w:cs="Times New Roman"/>
          <w:sz w:val="24"/>
          <w:szCs w:val="24"/>
        </w:rPr>
        <w:t xml:space="preserve"> mitochondrial stress responses</w:t>
      </w:r>
      <w:r w:rsidR="0001712F">
        <w:rPr>
          <w:rStyle w:val="None"/>
          <w:rFonts w:ascii="Times New Roman" w:hAnsi="Times New Roman" w:cs="Times New Roman"/>
          <w:sz w:val="24"/>
          <w:szCs w:val="24"/>
        </w:rPr>
        <w:t xml:space="preserve"> CIRS providers</w:t>
      </w:r>
      <w:r w:rsidRPr="002D3A6E">
        <w:rPr>
          <w:rStyle w:val="None"/>
          <w:rFonts w:ascii="Times New Roman" w:hAnsi="Times New Roman" w:cs="Times New Roman"/>
          <w:sz w:val="24"/>
          <w:szCs w:val="24"/>
        </w:rPr>
        <w:t xml:space="preserve"> feel that a delineation of mitochondrial gene expression </w:t>
      </w:r>
      <w:r w:rsidR="00247CE5">
        <w:rPr>
          <w:rStyle w:val="None"/>
          <w:rFonts w:ascii="Times New Roman" w:hAnsi="Times New Roman" w:cs="Times New Roman"/>
          <w:sz w:val="24"/>
          <w:szCs w:val="24"/>
        </w:rPr>
        <w:t xml:space="preserve">must first </w:t>
      </w:r>
      <w:r w:rsidRPr="002D3A6E">
        <w:rPr>
          <w:rStyle w:val="None"/>
          <w:rFonts w:ascii="Times New Roman" w:hAnsi="Times New Roman" w:cs="Times New Roman"/>
          <w:sz w:val="24"/>
          <w:szCs w:val="24"/>
        </w:rPr>
        <w:t>be examined as an upstream regulator of stress responses.</w:t>
      </w:r>
    </w:p>
    <w:p w14:paraId="05BC00C4" w14:textId="777E6E87" w:rsidR="008F352C" w:rsidRPr="002D3A6E" w:rsidRDefault="008F352C" w:rsidP="00466750">
      <w:pPr>
        <w:pStyle w:val="BodyA"/>
        <w:spacing w:after="160"/>
        <w:jc w:val="both"/>
        <w:rPr>
          <w:rFonts w:ascii="Times New Roman" w:hAnsi="Times New Roman" w:cs="Times New Roman"/>
          <w:sz w:val="24"/>
          <w:szCs w:val="24"/>
        </w:rPr>
      </w:pPr>
      <w:r w:rsidRPr="002D3A6E">
        <w:rPr>
          <w:rStyle w:val="None"/>
          <w:rFonts w:ascii="Times New Roman" w:hAnsi="Times New Roman" w:cs="Times New Roman"/>
          <w:sz w:val="24"/>
          <w:szCs w:val="24"/>
        </w:rPr>
        <w:t>Headaches are not necessarily a musculoskeletal problem but can overlap with</w:t>
      </w:r>
      <w:r w:rsidR="0001712F">
        <w:rPr>
          <w:rStyle w:val="None"/>
          <w:rFonts w:ascii="Times New Roman" w:hAnsi="Times New Roman" w:cs="Times New Roman"/>
          <w:sz w:val="24"/>
          <w:szCs w:val="24"/>
        </w:rPr>
        <w:t xml:space="preserve"> any pain syndrome. With CIRS,</w:t>
      </w:r>
      <w:r w:rsidRPr="002D3A6E">
        <w:rPr>
          <w:rStyle w:val="None"/>
          <w:rFonts w:ascii="Times New Roman" w:hAnsi="Times New Roman" w:cs="Times New Roman"/>
          <w:sz w:val="24"/>
          <w:szCs w:val="24"/>
        </w:rPr>
        <w:t xml:space="preserve"> look for intravascular volume depletion and reduced antidiuretic hormone (ADH) levels for a given osmolality. If patients are troubled with </w:t>
      </w:r>
      <w:r w:rsidR="00247CE5">
        <w:rPr>
          <w:rStyle w:val="None"/>
          <w:rFonts w:ascii="Times New Roman" w:hAnsi="Times New Roman" w:cs="Times New Roman"/>
          <w:sz w:val="24"/>
          <w:szCs w:val="24"/>
        </w:rPr>
        <w:t xml:space="preserve">headaches, especially when </w:t>
      </w:r>
      <w:r w:rsidRPr="002D3A6E">
        <w:rPr>
          <w:rStyle w:val="None"/>
          <w:rFonts w:ascii="Times New Roman" w:hAnsi="Times New Roman" w:cs="Times New Roman"/>
          <w:sz w:val="24"/>
          <w:szCs w:val="24"/>
        </w:rPr>
        <w:t xml:space="preserve">told that they have “migraine that lasts for more than 24 hours,” think of ADH/osmolality and not an actual migraine. </w:t>
      </w:r>
    </w:p>
    <w:p w14:paraId="18760C76" w14:textId="5364F6CD" w:rsidR="008F352C" w:rsidRPr="002D3A6E" w:rsidRDefault="008F352C" w:rsidP="00466750">
      <w:pPr>
        <w:pStyle w:val="BodyA"/>
        <w:spacing w:after="160"/>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A special case in CIRS patients is the unexplained, sudden weight gain just after the onset of CIRS illness. Ask the question, “was there a time that you gained 20 or more pounds </w:t>
      </w:r>
      <w:r w:rsidR="00AE3991" w:rsidRPr="002D3A6E">
        <w:rPr>
          <w:rStyle w:val="None"/>
          <w:rFonts w:ascii="Times New Roman" w:hAnsi="Times New Roman" w:cs="Times New Roman"/>
          <w:sz w:val="24"/>
          <w:szCs w:val="24"/>
        </w:rPr>
        <w:t>unexpectedly</w:t>
      </w:r>
      <w:r w:rsidRPr="002D3A6E">
        <w:rPr>
          <w:rStyle w:val="None"/>
          <w:rFonts w:ascii="Times New Roman" w:hAnsi="Times New Roman" w:cs="Times New Roman"/>
          <w:sz w:val="24"/>
          <w:szCs w:val="24"/>
        </w:rPr>
        <w:t xml:space="preserve"> that you just can</w:t>
      </w:r>
      <w:r w:rsidR="0094261D" w:rsidRPr="002D3A6E">
        <w:rPr>
          <w:rStyle w:val="None"/>
          <w:rFonts w:ascii="Times New Roman" w:hAnsi="Times New Roman" w:cs="Times New Roman"/>
          <w:sz w:val="24"/>
          <w:szCs w:val="24"/>
        </w:rPr>
        <w:t>no</w:t>
      </w:r>
      <w:r w:rsidR="0001712F">
        <w:rPr>
          <w:rStyle w:val="None"/>
          <w:rFonts w:ascii="Times New Roman" w:hAnsi="Times New Roman" w:cs="Times New Roman"/>
          <w:sz w:val="24"/>
          <w:szCs w:val="24"/>
        </w:rPr>
        <w:t xml:space="preserve">t lose?” The physician is </w:t>
      </w:r>
      <w:r w:rsidRPr="002D3A6E">
        <w:rPr>
          <w:rStyle w:val="None"/>
          <w:rFonts w:ascii="Times New Roman" w:hAnsi="Times New Roman" w:cs="Times New Roman"/>
          <w:sz w:val="24"/>
          <w:szCs w:val="24"/>
        </w:rPr>
        <w:t>asking about leptin resistance, a feared complication of inflammatory changes that abnormally alters responsiveness of the primordial gp-130 cytokine receptor that responds to leptin. A great month of weight loss for a leptin-resistant patient is usually 0.5 pounds per month. When the patient is a young female, and this is often the case, societal values o</w:t>
      </w:r>
      <w:r w:rsidR="00247CE5">
        <w:rPr>
          <w:rStyle w:val="None"/>
          <w:rFonts w:ascii="Times New Roman" w:hAnsi="Times New Roman" w:cs="Times New Roman"/>
          <w:sz w:val="24"/>
          <w:szCs w:val="24"/>
        </w:rPr>
        <w:t>f</w:t>
      </w:r>
      <w:r w:rsidRPr="002D3A6E">
        <w:rPr>
          <w:rStyle w:val="None"/>
          <w:rFonts w:ascii="Times New Roman" w:hAnsi="Times New Roman" w:cs="Times New Roman"/>
          <w:sz w:val="24"/>
          <w:szCs w:val="24"/>
        </w:rPr>
        <w:t xml:space="preserve"> thinness adds to her CIRS pain. </w:t>
      </w:r>
    </w:p>
    <w:p w14:paraId="03C8D99F" w14:textId="2962BE7B" w:rsidR="008F352C" w:rsidRPr="002D3A6E" w:rsidRDefault="008F352C" w:rsidP="00466750">
      <w:pPr>
        <w:pStyle w:val="BodyA"/>
        <w:spacing w:after="160"/>
        <w:jc w:val="both"/>
        <w:rPr>
          <w:rFonts w:ascii="Times New Roman" w:hAnsi="Times New Roman" w:cs="Times New Roman"/>
          <w:sz w:val="24"/>
          <w:szCs w:val="24"/>
        </w:rPr>
      </w:pPr>
      <w:r w:rsidRPr="002D3A6E">
        <w:rPr>
          <w:rStyle w:val="None"/>
          <w:rFonts w:ascii="Times New Roman" w:hAnsi="Times New Roman" w:cs="Times New Roman"/>
          <w:sz w:val="24"/>
          <w:szCs w:val="24"/>
        </w:rPr>
        <w:t>The overwhelming majority of CIRS patients know all about the symptom of “push/crash.” Years ago, this phenomenon was felt to be diagnostic for CFS. Now tha</w:t>
      </w:r>
      <w:r w:rsidR="0001712F">
        <w:rPr>
          <w:rStyle w:val="None"/>
          <w:rFonts w:ascii="Times New Roman" w:hAnsi="Times New Roman" w:cs="Times New Roman"/>
          <w:sz w:val="24"/>
          <w:szCs w:val="24"/>
        </w:rPr>
        <w:t>t CIRS providers</w:t>
      </w:r>
      <w:r w:rsidRPr="002D3A6E">
        <w:rPr>
          <w:rStyle w:val="None"/>
          <w:rFonts w:ascii="Times New Roman" w:hAnsi="Times New Roman" w:cs="Times New Roman"/>
          <w:sz w:val="24"/>
          <w:szCs w:val="24"/>
        </w:rPr>
        <w:t xml:space="preserve"> are confident that CFS is just a subset of CIRS, the experience of having a better day than the usual bad </w:t>
      </w:r>
      <w:r w:rsidR="00AE3991" w:rsidRPr="002D3A6E">
        <w:rPr>
          <w:rStyle w:val="None"/>
          <w:rFonts w:ascii="Times New Roman" w:hAnsi="Times New Roman" w:cs="Times New Roman"/>
          <w:sz w:val="24"/>
          <w:szCs w:val="24"/>
        </w:rPr>
        <w:t>ones and</w:t>
      </w:r>
      <w:r w:rsidRPr="002D3A6E">
        <w:rPr>
          <w:rStyle w:val="None"/>
          <w:rFonts w:ascii="Times New Roman" w:hAnsi="Times New Roman" w:cs="Times New Roman"/>
          <w:sz w:val="24"/>
          <w:szCs w:val="24"/>
        </w:rPr>
        <w:t xml:space="preserve"> trying to do a little extra to catch up, is invariably met with two or more days of significant worsening. Once thought to be simply due to capillary hypoperfusi</w:t>
      </w:r>
      <w:r w:rsidR="0001712F">
        <w:rPr>
          <w:rStyle w:val="None"/>
          <w:rFonts w:ascii="Times New Roman" w:hAnsi="Times New Roman" w:cs="Times New Roman"/>
          <w:sz w:val="24"/>
          <w:szCs w:val="24"/>
        </w:rPr>
        <w:t>on and anaerobic metabolism, it is</w:t>
      </w:r>
      <w:r w:rsidRPr="002D3A6E">
        <w:rPr>
          <w:rStyle w:val="None"/>
          <w:rFonts w:ascii="Times New Roman" w:hAnsi="Times New Roman" w:cs="Times New Roman"/>
          <w:sz w:val="24"/>
          <w:szCs w:val="24"/>
        </w:rPr>
        <w:t xml:space="preserve"> know</w:t>
      </w:r>
      <w:r w:rsidR="00535F32">
        <w:rPr>
          <w:rStyle w:val="None"/>
          <w:rFonts w:ascii="Times New Roman" w:hAnsi="Times New Roman" w:cs="Times New Roman"/>
          <w:sz w:val="24"/>
          <w:szCs w:val="24"/>
        </w:rPr>
        <w:t>n</w:t>
      </w:r>
      <w:r w:rsidRPr="002D3A6E">
        <w:rPr>
          <w:rStyle w:val="None"/>
          <w:rFonts w:ascii="Times New Roman" w:hAnsi="Times New Roman" w:cs="Times New Roman"/>
          <w:sz w:val="24"/>
          <w:szCs w:val="24"/>
        </w:rPr>
        <w:t xml:space="preserve"> that the final common pathway of CIRS involves abnormalities in glycolysis, and ribosomal and nuclear encoded mitochondrial genes that </w:t>
      </w:r>
      <w:r w:rsidR="007E4F43">
        <w:rPr>
          <w:rStyle w:val="None"/>
          <w:rFonts w:ascii="Times New Roman" w:hAnsi="Times New Roman" w:cs="Times New Roman"/>
          <w:sz w:val="24"/>
          <w:szCs w:val="24"/>
        </w:rPr>
        <w:t>reduce</w:t>
      </w:r>
      <w:r w:rsidRPr="002D3A6E">
        <w:rPr>
          <w:rStyle w:val="None"/>
          <w:rFonts w:ascii="Times New Roman" w:hAnsi="Times New Roman" w:cs="Times New Roman"/>
          <w:sz w:val="24"/>
          <w:szCs w:val="24"/>
        </w:rPr>
        <w:t xml:space="preserve"> </w:t>
      </w:r>
      <w:r w:rsidR="007E4F43">
        <w:rPr>
          <w:rStyle w:val="None"/>
          <w:rFonts w:ascii="Times New Roman" w:hAnsi="Times New Roman" w:cs="Times New Roman"/>
          <w:sz w:val="24"/>
          <w:szCs w:val="24"/>
        </w:rPr>
        <w:t xml:space="preserve">the </w:t>
      </w:r>
      <w:r w:rsidRPr="002D3A6E">
        <w:rPr>
          <w:rStyle w:val="None"/>
          <w:rFonts w:ascii="Times New Roman" w:hAnsi="Times New Roman" w:cs="Times New Roman"/>
          <w:sz w:val="24"/>
          <w:szCs w:val="24"/>
        </w:rPr>
        <w:t>availability of energy.</w:t>
      </w:r>
    </w:p>
    <w:p w14:paraId="238D3FD7" w14:textId="77777777" w:rsidR="00247CE5" w:rsidRDefault="008F352C" w:rsidP="00466750">
      <w:pPr>
        <w:pStyle w:val="BodyA"/>
        <w:spacing w:after="160"/>
        <w:jc w:val="both"/>
        <w:rPr>
          <w:rStyle w:val="None"/>
          <w:rFonts w:ascii="Times New Roman" w:hAnsi="Times New Roman" w:cs="Times New Roman"/>
          <w:sz w:val="24"/>
          <w:szCs w:val="24"/>
        </w:rPr>
      </w:pPr>
      <w:r w:rsidRPr="002D3A6E">
        <w:rPr>
          <w:rStyle w:val="None"/>
          <w:rFonts w:ascii="Times New Roman" w:hAnsi="Times New Roman" w:cs="Times New Roman"/>
          <w:sz w:val="24"/>
          <w:szCs w:val="24"/>
        </w:rPr>
        <w:t>Be sure to ask about abdominal pain. Bile acid reflux is found in over 66% of CIRS patients. The reflux sounds typical of acid reflux but never responds to acid blockers. Even worse, after</w:t>
      </w:r>
      <w:r w:rsidR="00247CE5">
        <w:rPr>
          <w:rStyle w:val="None"/>
          <w:rFonts w:ascii="Times New Roman" w:hAnsi="Times New Roman" w:cs="Times New Roman"/>
          <w:sz w:val="24"/>
          <w:szCs w:val="24"/>
        </w:rPr>
        <w:t xml:space="preserve"> a gastroenterologist</w:t>
      </w:r>
      <w:r w:rsidRPr="002D3A6E">
        <w:rPr>
          <w:rStyle w:val="None"/>
          <w:rFonts w:ascii="Times New Roman" w:hAnsi="Times New Roman" w:cs="Times New Roman"/>
          <w:sz w:val="24"/>
          <w:szCs w:val="24"/>
        </w:rPr>
        <w:t xml:space="preserve"> is called in to perform a scoping (done fasting when bile acid reflux will not be a problem), the chances are high that the abdominal pain after meals will be called </w:t>
      </w:r>
      <w:r w:rsidR="008050E9" w:rsidRPr="002D3A6E">
        <w:rPr>
          <w:rStyle w:val="None"/>
          <w:rFonts w:ascii="Times New Roman" w:hAnsi="Times New Roman" w:cs="Times New Roman"/>
          <w:sz w:val="24"/>
          <w:szCs w:val="24"/>
        </w:rPr>
        <w:t>“</w:t>
      </w:r>
      <w:r w:rsidRPr="002D3A6E">
        <w:rPr>
          <w:rStyle w:val="None"/>
          <w:rFonts w:ascii="Times New Roman" w:hAnsi="Times New Roman" w:cs="Times New Roman"/>
          <w:sz w:val="24"/>
          <w:szCs w:val="24"/>
        </w:rPr>
        <w:t>functional.</w:t>
      </w:r>
      <w:r w:rsidR="008050E9" w:rsidRPr="002D3A6E">
        <w:rPr>
          <w:rStyle w:val="None"/>
          <w:rFonts w:ascii="Times New Roman" w:hAnsi="Times New Roman" w:cs="Times New Roman"/>
          <w:sz w:val="24"/>
          <w:szCs w:val="24"/>
        </w:rPr>
        <w:t>”</w:t>
      </w:r>
      <w:r w:rsidRPr="002D3A6E">
        <w:rPr>
          <w:rStyle w:val="None"/>
          <w:rFonts w:ascii="Times New Roman" w:hAnsi="Times New Roman" w:cs="Times New Roman"/>
          <w:sz w:val="24"/>
          <w:szCs w:val="24"/>
        </w:rPr>
        <w:t xml:space="preserve">  Functional, by definition, means there is no discernible pathology</w:t>
      </w:r>
      <w:r w:rsidR="008050E9" w:rsidRPr="002D3A6E">
        <w:rPr>
          <w:rStyle w:val="None"/>
          <w:rFonts w:ascii="Times New Roman" w:hAnsi="Times New Roman" w:cs="Times New Roman"/>
          <w:sz w:val="24"/>
          <w:szCs w:val="24"/>
        </w:rPr>
        <w:t>: the problem is psychiatric in origin</w:t>
      </w:r>
      <w:r w:rsidRPr="002D3A6E">
        <w:rPr>
          <w:rStyle w:val="None"/>
          <w:rFonts w:ascii="Times New Roman" w:hAnsi="Times New Roman" w:cs="Times New Roman"/>
          <w:sz w:val="24"/>
          <w:szCs w:val="24"/>
        </w:rPr>
        <w:t xml:space="preserve">.  </w:t>
      </w:r>
    </w:p>
    <w:p w14:paraId="4B515891" w14:textId="7CD6E103" w:rsidR="008F352C" w:rsidRPr="002D3A6E" w:rsidRDefault="008F352C" w:rsidP="00466750">
      <w:pPr>
        <w:pStyle w:val="BodyA"/>
        <w:spacing w:after="160"/>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Decreased VIP and MSH levels, elevated </w:t>
      </w:r>
      <w:r w:rsidR="00DA5D11" w:rsidRPr="00E55ECD">
        <w:rPr>
          <w:rStyle w:val="None"/>
          <w:rFonts w:ascii="Times New Roman" w:hAnsi="Times New Roman" w:cs="Times New Roman"/>
          <w:sz w:val="24"/>
          <w:szCs w:val="24"/>
        </w:rPr>
        <w:t>TGF-beta1</w:t>
      </w:r>
      <w:r w:rsidRPr="002D3A6E">
        <w:rPr>
          <w:rStyle w:val="None"/>
          <w:rFonts w:ascii="Times New Roman" w:hAnsi="Times New Roman" w:cs="Times New Roman"/>
          <w:sz w:val="24"/>
          <w:szCs w:val="24"/>
        </w:rPr>
        <w:t>, C4a and MMP-9 tests, multiple objectively demonstrated disruptions of hypothalamic-pituitary-end organ axes, abnormal brain imaging and distorted transcriptomics argue</w:t>
      </w:r>
      <w:r w:rsidR="00707AF0" w:rsidRPr="002D3A6E">
        <w:rPr>
          <w:rStyle w:val="None"/>
          <w:rFonts w:ascii="Times New Roman" w:hAnsi="Times New Roman" w:cs="Times New Roman"/>
          <w:sz w:val="24"/>
          <w:szCs w:val="24"/>
        </w:rPr>
        <w:t>, however,</w:t>
      </w:r>
      <w:r w:rsidRPr="002D3A6E">
        <w:rPr>
          <w:rStyle w:val="None"/>
          <w:rFonts w:ascii="Times New Roman" w:hAnsi="Times New Roman" w:cs="Times New Roman"/>
          <w:sz w:val="24"/>
          <w:szCs w:val="24"/>
        </w:rPr>
        <w:t xml:space="preserve"> that there is nothing </w:t>
      </w:r>
      <w:r w:rsidR="008050E9" w:rsidRPr="002D3A6E">
        <w:rPr>
          <w:rStyle w:val="None"/>
          <w:rFonts w:ascii="Times New Roman" w:hAnsi="Times New Roman" w:cs="Times New Roman"/>
          <w:sz w:val="24"/>
          <w:szCs w:val="24"/>
        </w:rPr>
        <w:t>“</w:t>
      </w:r>
      <w:r w:rsidRPr="002D3A6E">
        <w:rPr>
          <w:rStyle w:val="None"/>
          <w:rFonts w:ascii="Times New Roman" w:hAnsi="Times New Roman" w:cs="Times New Roman"/>
          <w:sz w:val="24"/>
          <w:szCs w:val="24"/>
        </w:rPr>
        <w:t>functional</w:t>
      </w:r>
      <w:r w:rsidR="008050E9" w:rsidRPr="002D3A6E">
        <w:rPr>
          <w:rStyle w:val="None"/>
          <w:rFonts w:ascii="Times New Roman" w:hAnsi="Times New Roman" w:cs="Times New Roman"/>
          <w:sz w:val="24"/>
          <w:szCs w:val="24"/>
        </w:rPr>
        <w:t>”</w:t>
      </w:r>
      <w:r w:rsidRPr="002D3A6E">
        <w:rPr>
          <w:rStyle w:val="None"/>
          <w:rFonts w:ascii="Times New Roman" w:hAnsi="Times New Roman" w:cs="Times New Roman"/>
          <w:sz w:val="24"/>
          <w:szCs w:val="24"/>
        </w:rPr>
        <w:t xml:space="preserve"> about this illness.</w:t>
      </w:r>
      <w:r w:rsidR="008050E9" w:rsidRPr="002D3A6E">
        <w:rPr>
          <w:rStyle w:val="None"/>
          <w:rFonts w:ascii="Times New Roman" w:hAnsi="Times New Roman" w:cs="Times New Roman"/>
          <w:sz w:val="24"/>
          <w:szCs w:val="24"/>
        </w:rPr>
        <w:t xml:space="preserve"> Objective data, not “functional ideation,” define the illness and define the effectiveness of treatments.</w:t>
      </w:r>
    </w:p>
    <w:p w14:paraId="0ABF882C" w14:textId="10C999FD" w:rsidR="008F352C" w:rsidRPr="002D3A6E" w:rsidRDefault="008F352C" w:rsidP="00466750">
      <w:pPr>
        <w:pStyle w:val="BodyA"/>
        <w:spacing w:after="160"/>
        <w:jc w:val="both"/>
        <w:rPr>
          <w:rFonts w:ascii="Times New Roman" w:hAnsi="Times New Roman" w:cs="Times New Roman"/>
          <w:sz w:val="24"/>
          <w:szCs w:val="24"/>
        </w:rPr>
      </w:pPr>
      <w:r w:rsidRPr="002D3A6E">
        <w:rPr>
          <w:rStyle w:val="None"/>
          <w:rFonts w:ascii="Times New Roman" w:hAnsi="Times New Roman" w:cs="Times New Roman"/>
          <w:sz w:val="24"/>
          <w:szCs w:val="24"/>
        </w:rPr>
        <w:t>Gastroparesis is rarely found in anyone except older diabetics with a history of poor control of blood sugar. Except for CIRS patients in whom delayed gastric emptying can be shown by a nuclear emptying study to be abnormal in 5-10% of cases. Do</w:t>
      </w:r>
      <w:r w:rsidR="0094261D" w:rsidRPr="002D3A6E">
        <w:rPr>
          <w:rStyle w:val="None"/>
          <w:rFonts w:ascii="Times New Roman" w:hAnsi="Times New Roman" w:cs="Times New Roman"/>
          <w:sz w:val="24"/>
          <w:szCs w:val="24"/>
        </w:rPr>
        <w:t xml:space="preserve"> no</w:t>
      </w:r>
      <w:r w:rsidRPr="002D3A6E">
        <w:rPr>
          <w:rStyle w:val="None"/>
          <w:rFonts w:ascii="Times New Roman" w:hAnsi="Times New Roman" w:cs="Times New Roman"/>
          <w:sz w:val="24"/>
          <w:szCs w:val="24"/>
        </w:rPr>
        <w:t>t guess: do the study.</w:t>
      </w:r>
    </w:p>
    <w:p w14:paraId="70D7BD20" w14:textId="77777777" w:rsidR="008F352C" w:rsidRDefault="008F352C" w:rsidP="00466750">
      <w:pPr>
        <w:pStyle w:val="BodyA"/>
        <w:spacing w:after="0"/>
        <w:jc w:val="both"/>
      </w:pPr>
    </w:p>
    <w:p w14:paraId="1F7F56DC" w14:textId="77777777" w:rsidR="008F352C" w:rsidRDefault="008F352C" w:rsidP="00466750">
      <w:pPr>
        <w:pStyle w:val="BodyA"/>
        <w:spacing w:after="0"/>
        <w:jc w:val="both"/>
        <w:rPr>
          <w:rStyle w:val="None"/>
          <w:rFonts w:ascii="Times New Roman" w:hAnsi="Times New Roman" w:cs="Times New Roman"/>
          <w:b/>
          <w:bCs/>
          <w:sz w:val="28"/>
          <w:szCs w:val="28"/>
        </w:rPr>
      </w:pPr>
      <w:r w:rsidRPr="002D3A6E">
        <w:rPr>
          <w:rStyle w:val="None"/>
          <w:rFonts w:ascii="Times New Roman" w:hAnsi="Times New Roman" w:cs="Times New Roman"/>
          <w:b/>
          <w:bCs/>
          <w:sz w:val="28"/>
          <w:szCs w:val="28"/>
        </w:rPr>
        <w:t>Section 6. Environmental history</w:t>
      </w:r>
    </w:p>
    <w:p w14:paraId="5A831BFC" w14:textId="77777777" w:rsidR="00247CE5" w:rsidRPr="002D3A6E" w:rsidRDefault="00247CE5" w:rsidP="00466750">
      <w:pPr>
        <w:pStyle w:val="BodyA"/>
        <w:spacing w:after="0"/>
        <w:jc w:val="both"/>
        <w:rPr>
          <w:rFonts w:ascii="Times New Roman" w:hAnsi="Times New Roman" w:cs="Times New Roman"/>
        </w:rPr>
      </w:pPr>
    </w:p>
    <w:p w14:paraId="7333EE7D" w14:textId="4ABD0EED" w:rsidR="008F352C" w:rsidRPr="002D3A6E" w:rsidRDefault="008F352C" w:rsidP="00466750">
      <w:pPr>
        <w:pStyle w:val="BodyA"/>
        <w:spacing w:after="0"/>
        <w:jc w:val="both"/>
        <w:rPr>
          <w:rFonts w:ascii="Times New Roman" w:hAnsi="Times New Roman" w:cs="Times New Roman"/>
          <w:sz w:val="24"/>
          <w:szCs w:val="24"/>
        </w:rPr>
      </w:pPr>
      <w:r w:rsidRPr="002D3A6E">
        <w:rPr>
          <w:rStyle w:val="None"/>
          <w:rFonts w:ascii="Times New Roman" w:hAnsi="Times New Roman" w:cs="Times New Roman"/>
          <w:sz w:val="24"/>
          <w:szCs w:val="24"/>
        </w:rPr>
        <w:t>Environmental exposures can be hard to confirm. Given the Internet, one can find many non-biotoxin exposures called environmental. Could pesticides count? Which ones? Exposed for how long? Was the pesticide exposure from harvesti</w:t>
      </w:r>
      <w:r w:rsidR="00550E8A" w:rsidRPr="002D3A6E">
        <w:rPr>
          <w:rStyle w:val="None"/>
          <w:rFonts w:ascii="Times New Roman" w:hAnsi="Times New Roman" w:cs="Times New Roman"/>
          <w:sz w:val="24"/>
          <w:szCs w:val="24"/>
        </w:rPr>
        <w:t>n</w:t>
      </w:r>
      <w:r w:rsidRPr="002D3A6E">
        <w:rPr>
          <w:rStyle w:val="None"/>
          <w:rFonts w:ascii="Times New Roman" w:hAnsi="Times New Roman" w:cs="Times New Roman"/>
          <w:sz w:val="24"/>
          <w:szCs w:val="24"/>
        </w:rPr>
        <w:t>g, application, doused by adjacent aerosol drift?</w:t>
      </w:r>
    </w:p>
    <w:p w14:paraId="2A5136EF" w14:textId="77777777" w:rsidR="008F352C" w:rsidRPr="002D3A6E" w:rsidRDefault="008F352C" w:rsidP="00466750">
      <w:pPr>
        <w:pStyle w:val="BodyA"/>
        <w:spacing w:after="0"/>
        <w:jc w:val="both"/>
        <w:rPr>
          <w:rFonts w:ascii="Times New Roman" w:hAnsi="Times New Roman" w:cs="Times New Roman"/>
          <w:sz w:val="24"/>
          <w:szCs w:val="24"/>
        </w:rPr>
      </w:pPr>
    </w:p>
    <w:p w14:paraId="08B53CAE" w14:textId="5C007F3F" w:rsidR="008F352C" w:rsidRPr="002D3A6E" w:rsidRDefault="008F352C" w:rsidP="00466750">
      <w:pPr>
        <w:pStyle w:val="BodyA"/>
        <w:spacing w:after="0"/>
        <w:jc w:val="both"/>
        <w:rPr>
          <w:rFonts w:ascii="Times New Roman" w:hAnsi="Times New Roman" w:cs="Times New Roman"/>
          <w:sz w:val="24"/>
          <w:szCs w:val="24"/>
        </w:rPr>
      </w:pPr>
      <w:r w:rsidRPr="002D3A6E">
        <w:rPr>
          <w:rStyle w:val="None"/>
          <w:rFonts w:ascii="Times New Roman" w:hAnsi="Times New Roman" w:cs="Times New Roman"/>
          <w:sz w:val="24"/>
          <w:szCs w:val="24"/>
        </w:rPr>
        <w:t>How about golf courses, known users of pesticides, herbicides, fungicides and fertilizers</w:t>
      </w:r>
      <w:r w:rsidR="00550E8A" w:rsidRPr="002D3A6E">
        <w:rPr>
          <w:rStyle w:val="None"/>
          <w:rFonts w:ascii="Times New Roman" w:hAnsi="Times New Roman" w:cs="Times New Roman"/>
          <w:sz w:val="24"/>
          <w:szCs w:val="24"/>
        </w:rPr>
        <w:t>?</w:t>
      </w:r>
      <w:r w:rsidRPr="002D3A6E">
        <w:rPr>
          <w:rStyle w:val="None"/>
          <w:rFonts w:ascii="Times New Roman" w:hAnsi="Times New Roman" w:cs="Times New Roman"/>
          <w:sz w:val="24"/>
          <w:szCs w:val="24"/>
        </w:rPr>
        <w:t xml:space="preserve"> Is playing golf considered to be a dangerous environmental exposure?</w:t>
      </w:r>
    </w:p>
    <w:p w14:paraId="2BE58820" w14:textId="77777777" w:rsidR="008F352C" w:rsidRPr="002D3A6E" w:rsidRDefault="008F352C" w:rsidP="00466750">
      <w:pPr>
        <w:pStyle w:val="BodyA"/>
        <w:spacing w:after="0"/>
        <w:jc w:val="both"/>
        <w:rPr>
          <w:rFonts w:ascii="Times New Roman" w:hAnsi="Times New Roman" w:cs="Times New Roman"/>
          <w:sz w:val="24"/>
          <w:szCs w:val="24"/>
        </w:rPr>
      </w:pPr>
    </w:p>
    <w:p w14:paraId="1FA3EDD9" w14:textId="7487D744" w:rsidR="008F352C" w:rsidRPr="002D3A6E" w:rsidRDefault="008F352C" w:rsidP="00466750">
      <w:pPr>
        <w:pStyle w:val="BodyA"/>
        <w:spacing w:after="0"/>
        <w:jc w:val="both"/>
        <w:rPr>
          <w:rFonts w:ascii="Times New Roman" w:hAnsi="Times New Roman" w:cs="Times New Roman"/>
          <w:sz w:val="24"/>
          <w:szCs w:val="24"/>
        </w:rPr>
      </w:pPr>
      <w:r w:rsidRPr="002D3A6E">
        <w:rPr>
          <w:rStyle w:val="None"/>
          <w:rFonts w:ascii="Times New Roman" w:hAnsi="Times New Roman" w:cs="Times New Roman"/>
          <w:sz w:val="24"/>
          <w:szCs w:val="24"/>
        </w:rPr>
        <w:t>And what about Round-Up ready crops</w:t>
      </w:r>
      <w:r w:rsidR="00550E8A" w:rsidRPr="002D3A6E">
        <w:rPr>
          <w:rStyle w:val="None"/>
          <w:rFonts w:ascii="Times New Roman" w:hAnsi="Times New Roman" w:cs="Times New Roman"/>
          <w:sz w:val="24"/>
          <w:szCs w:val="24"/>
        </w:rPr>
        <w:t>?</w:t>
      </w:r>
      <w:r w:rsidRPr="002D3A6E">
        <w:rPr>
          <w:rStyle w:val="None"/>
          <w:rFonts w:ascii="Times New Roman" w:hAnsi="Times New Roman" w:cs="Times New Roman"/>
          <w:sz w:val="24"/>
          <w:szCs w:val="24"/>
        </w:rPr>
        <w:t xml:space="preserve"> Are exposures to genetically altered organisms a source of illness? Some practitioners preach that it </w:t>
      </w:r>
      <w:r w:rsidR="004717E3">
        <w:rPr>
          <w:rStyle w:val="None"/>
          <w:rFonts w:ascii="Times New Roman" w:hAnsi="Times New Roman" w:cs="Times New Roman"/>
          <w:sz w:val="24"/>
          <w:szCs w:val="24"/>
        </w:rPr>
        <w:t xml:space="preserve">is </w:t>
      </w:r>
      <w:r w:rsidR="0001712F">
        <w:rPr>
          <w:rStyle w:val="None"/>
          <w:rFonts w:ascii="Times New Roman" w:hAnsi="Times New Roman" w:cs="Times New Roman"/>
          <w:sz w:val="24"/>
          <w:szCs w:val="24"/>
        </w:rPr>
        <w:t>so (</w:t>
      </w:r>
      <w:r w:rsidRPr="002D3A6E">
        <w:rPr>
          <w:rStyle w:val="None"/>
          <w:rFonts w:ascii="Times New Roman" w:hAnsi="Times New Roman" w:cs="Times New Roman"/>
          <w:sz w:val="24"/>
          <w:szCs w:val="24"/>
        </w:rPr>
        <w:t>still waiting for data).</w:t>
      </w:r>
    </w:p>
    <w:p w14:paraId="6EE8567A" w14:textId="77777777" w:rsidR="008F352C" w:rsidRPr="002D3A6E" w:rsidRDefault="008F352C" w:rsidP="00466750">
      <w:pPr>
        <w:pStyle w:val="BodyA"/>
        <w:spacing w:after="0"/>
        <w:jc w:val="both"/>
        <w:rPr>
          <w:rFonts w:ascii="Times New Roman" w:hAnsi="Times New Roman" w:cs="Times New Roman"/>
          <w:sz w:val="24"/>
          <w:szCs w:val="24"/>
        </w:rPr>
      </w:pPr>
    </w:p>
    <w:p w14:paraId="624A6C72" w14:textId="512AE372" w:rsidR="008F352C" w:rsidRPr="002D3A6E" w:rsidRDefault="008F352C" w:rsidP="00466750">
      <w:pPr>
        <w:pStyle w:val="BodyA"/>
        <w:spacing w:after="0"/>
        <w:jc w:val="both"/>
        <w:rPr>
          <w:rFonts w:ascii="Times New Roman" w:hAnsi="Times New Roman" w:cs="Times New Roman"/>
          <w:sz w:val="24"/>
          <w:szCs w:val="24"/>
        </w:rPr>
      </w:pPr>
      <w:r w:rsidRPr="002D3A6E">
        <w:rPr>
          <w:rStyle w:val="None"/>
          <w:rFonts w:ascii="Times New Roman" w:hAnsi="Times New Roman" w:cs="Times New Roman"/>
          <w:sz w:val="24"/>
          <w:szCs w:val="24"/>
        </w:rPr>
        <w:t>Dietary sources of exposures remain talked about frequent</w:t>
      </w:r>
      <w:r w:rsidR="0001712F">
        <w:rPr>
          <w:rStyle w:val="None"/>
          <w:rFonts w:ascii="Times New Roman" w:hAnsi="Times New Roman" w:cs="Times New Roman"/>
          <w:sz w:val="24"/>
          <w:szCs w:val="24"/>
        </w:rPr>
        <w:t>ly, but if someone is telling the public that drinking coffee equals being poisoned by mycotoxins, let us</w:t>
      </w:r>
      <w:r w:rsidRPr="002D3A6E">
        <w:rPr>
          <w:rStyle w:val="None"/>
          <w:rFonts w:ascii="Times New Roman" w:hAnsi="Times New Roman" w:cs="Times New Roman"/>
          <w:sz w:val="24"/>
          <w:szCs w:val="24"/>
        </w:rPr>
        <w:t xml:space="preserve"> see </w:t>
      </w:r>
      <w:r w:rsidR="0001712F">
        <w:rPr>
          <w:rStyle w:val="None"/>
          <w:rFonts w:ascii="Times New Roman" w:hAnsi="Times New Roman" w:cs="Times New Roman"/>
          <w:sz w:val="24"/>
          <w:szCs w:val="24"/>
        </w:rPr>
        <w:t xml:space="preserve">the data. </w:t>
      </w:r>
      <w:r w:rsidR="00752705">
        <w:rPr>
          <w:rStyle w:val="None"/>
          <w:rFonts w:ascii="Times New Roman" w:hAnsi="Times New Roman" w:cs="Times New Roman"/>
          <w:sz w:val="24"/>
          <w:szCs w:val="24"/>
        </w:rPr>
        <w:t>Less important than</w:t>
      </w:r>
      <w:r w:rsidRPr="002D3A6E">
        <w:rPr>
          <w:rStyle w:val="None"/>
          <w:rFonts w:ascii="Times New Roman" w:hAnsi="Times New Roman" w:cs="Times New Roman"/>
          <w:sz w:val="24"/>
          <w:szCs w:val="24"/>
        </w:rPr>
        <w:t xml:space="preserve"> how many people buy special coffee (insert mushrooms, bleu cheese, bread, chocolate, beer and wine, among others) into thi</w:t>
      </w:r>
      <w:r w:rsidR="00752705">
        <w:rPr>
          <w:rStyle w:val="None"/>
          <w:rFonts w:ascii="Times New Roman" w:hAnsi="Times New Roman" w:cs="Times New Roman"/>
          <w:sz w:val="24"/>
          <w:szCs w:val="24"/>
        </w:rPr>
        <w:t>s hysteria-based sales pitch,</w:t>
      </w:r>
      <w:r w:rsidRPr="002D3A6E">
        <w:rPr>
          <w:rStyle w:val="None"/>
          <w:rFonts w:ascii="Times New Roman" w:hAnsi="Times New Roman" w:cs="Times New Roman"/>
          <w:sz w:val="24"/>
          <w:szCs w:val="24"/>
        </w:rPr>
        <w:t xml:space="preserve"> claim</w:t>
      </w:r>
      <w:r w:rsidR="00752705">
        <w:rPr>
          <w:rStyle w:val="None"/>
          <w:rFonts w:ascii="Times New Roman" w:hAnsi="Times New Roman" w:cs="Times New Roman"/>
          <w:sz w:val="24"/>
          <w:szCs w:val="24"/>
        </w:rPr>
        <w:t>ing</w:t>
      </w:r>
      <w:r w:rsidRPr="002D3A6E">
        <w:rPr>
          <w:rStyle w:val="None"/>
          <w:rFonts w:ascii="Times New Roman" w:hAnsi="Times New Roman" w:cs="Times New Roman"/>
          <w:sz w:val="24"/>
          <w:szCs w:val="24"/>
        </w:rPr>
        <w:t xml:space="preserve"> how great they feel</w:t>
      </w:r>
      <w:r w:rsidR="00535F32">
        <w:rPr>
          <w:rStyle w:val="None"/>
          <w:rFonts w:ascii="Times New Roman" w:hAnsi="Times New Roman" w:cs="Times New Roman"/>
          <w:sz w:val="24"/>
          <w:szCs w:val="24"/>
        </w:rPr>
        <w:t xml:space="preserve"> is the data supporting their claims</w:t>
      </w:r>
      <w:r w:rsidRPr="002D3A6E">
        <w:rPr>
          <w:rStyle w:val="None"/>
          <w:rFonts w:ascii="Times New Roman" w:hAnsi="Times New Roman" w:cs="Times New Roman"/>
          <w:sz w:val="24"/>
          <w:szCs w:val="24"/>
        </w:rPr>
        <w:t xml:space="preserve">. </w:t>
      </w:r>
    </w:p>
    <w:p w14:paraId="5C2F416E" w14:textId="77777777" w:rsidR="008F352C" w:rsidRPr="002D3A6E" w:rsidRDefault="008F352C" w:rsidP="00466750">
      <w:pPr>
        <w:pStyle w:val="BodyA"/>
        <w:spacing w:after="0"/>
        <w:jc w:val="both"/>
        <w:rPr>
          <w:rFonts w:ascii="Times New Roman" w:hAnsi="Times New Roman" w:cs="Times New Roman"/>
          <w:sz w:val="24"/>
          <w:szCs w:val="24"/>
        </w:rPr>
      </w:pPr>
    </w:p>
    <w:p w14:paraId="1BEE0802" w14:textId="4EB40189" w:rsidR="008F352C" w:rsidRPr="002D3A6E" w:rsidRDefault="00752705" w:rsidP="00466750">
      <w:pPr>
        <w:pStyle w:val="BodyA"/>
        <w:spacing w:after="0"/>
        <w:jc w:val="both"/>
        <w:rPr>
          <w:rFonts w:ascii="Times New Roman" w:hAnsi="Times New Roman" w:cs="Times New Roman"/>
          <w:sz w:val="24"/>
          <w:szCs w:val="24"/>
        </w:rPr>
      </w:pPr>
      <w:r>
        <w:rPr>
          <w:rStyle w:val="None"/>
          <w:rFonts w:ascii="Times New Roman" w:hAnsi="Times New Roman" w:cs="Times New Roman"/>
          <w:sz w:val="24"/>
          <w:szCs w:val="24"/>
        </w:rPr>
        <w:t>I</w:t>
      </w:r>
      <w:r w:rsidR="008F352C" w:rsidRPr="002D3A6E">
        <w:rPr>
          <w:rStyle w:val="None"/>
          <w:rFonts w:ascii="Times New Roman" w:hAnsi="Times New Roman" w:cs="Times New Roman"/>
          <w:sz w:val="24"/>
          <w:szCs w:val="24"/>
        </w:rPr>
        <w:t>n the sections that follow, exposure is a key factor in assessment of the case definition of CIRS. It remains one of the hardest elements to show conclusively.</w:t>
      </w:r>
    </w:p>
    <w:p w14:paraId="15B5EF8C" w14:textId="77777777" w:rsidR="008F352C" w:rsidRPr="002D3A6E" w:rsidRDefault="008F352C" w:rsidP="00466750">
      <w:pPr>
        <w:pStyle w:val="BodyA"/>
        <w:spacing w:after="0"/>
        <w:jc w:val="both"/>
        <w:rPr>
          <w:rFonts w:ascii="Times New Roman" w:hAnsi="Times New Roman" w:cs="Times New Roman"/>
          <w:sz w:val="24"/>
          <w:szCs w:val="24"/>
        </w:rPr>
      </w:pPr>
    </w:p>
    <w:p w14:paraId="7FB397E3" w14:textId="77777777" w:rsidR="008F352C" w:rsidRPr="002D3A6E" w:rsidRDefault="008F352C" w:rsidP="00466750">
      <w:pPr>
        <w:pStyle w:val="BodyA"/>
        <w:spacing w:after="0"/>
        <w:jc w:val="both"/>
        <w:rPr>
          <w:rFonts w:ascii="Times New Roman" w:hAnsi="Times New Roman" w:cs="Times New Roman"/>
          <w:sz w:val="24"/>
          <w:szCs w:val="24"/>
        </w:rPr>
      </w:pPr>
      <w:r w:rsidRPr="002D3A6E">
        <w:rPr>
          <w:rStyle w:val="None"/>
          <w:rFonts w:ascii="Times New Roman" w:hAnsi="Times New Roman" w:cs="Times New Roman"/>
          <w:sz w:val="24"/>
          <w:szCs w:val="24"/>
        </w:rPr>
        <w:t xml:space="preserve">A variety of factors underlie exposure risk. Well person or CIRS? HLA-based susceptible or not? Skin versus inhalation contact? Exposure to a water-damaged building for a non-HLA susceptible patient essentially means no risk. Lyme? Dinoflagellate? Cyanobacteria? </w:t>
      </w:r>
    </w:p>
    <w:p w14:paraId="27D6CAFD" w14:textId="77777777" w:rsidR="008F352C" w:rsidRPr="002D3A6E" w:rsidRDefault="008F352C" w:rsidP="00466750">
      <w:pPr>
        <w:pStyle w:val="BodyA"/>
        <w:spacing w:after="0"/>
        <w:jc w:val="both"/>
        <w:rPr>
          <w:rFonts w:ascii="Times New Roman" w:hAnsi="Times New Roman" w:cs="Times New Roman"/>
          <w:sz w:val="24"/>
          <w:szCs w:val="24"/>
        </w:rPr>
      </w:pPr>
    </w:p>
    <w:p w14:paraId="7636188F" w14:textId="21252E1E" w:rsidR="008F352C" w:rsidRPr="002D3A6E" w:rsidRDefault="008F352C" w:rsidP="00466750">
      <w:pPr>
        <w:pStyle w:val="BodyA"/>
        <w:spacing w:after="0"/>
        <w:jc w:val="both"/>
        <w:rPr>
          <w:rFonts w:ascii="Times New Roman" w:hAnsi="Times New Roman" w:cs="Times New Roman"/>
          <w:sz w:val="24"/>
          <w:szCs w:val="24"/>
        </w:rPr>
      </w:pPr>
      <w:r w:rsidRPr="002D3A6E">
        <w:rPr>
          <w:rStyle w:val="None"/>
          <w:rFonts w:ascii="Times New Roman" w:hAnsi="Times New Roman" w:cs="Times New Roman"/>
          <w:sz w:val="24"/>
          <w:szCs w:val="24"/>
        </w:rPr>
        <w:t>The history must include location and type of exposure, mechanism of exposure, with duration less important than intensity. Some exposures are simple: “I swam in a lake later confirmed to have bloom conditions of Microcystis.” Some are</w:t>
      </w:r>
      <w:r w:rsidR="0094261D" w:rsidRPr="002D3A6E">
        <w:rPr>
          <w:rStyle w:val="None"/>
          <w:rFonts w:ascii="Times New Roman" w:hAnsi="Times New Roman" w:cs="Times New Roman"/>
          <w:sz w:val="24"/>
          <w:szCs w:val="24"/>
        </w:rPr>
        <w:t xml:space="preserve"> no</w:t>
      </w:r>
      <w:r w:rsidRPr="002D3A6E">
        <w:rPr>
          <w:rStyle w:val="None"/>
          <w:rFonts w:ascii="Times New Roman" w:hAnsi="Times New Roman" w:cs="Times New Roman"/>
          <w:sz w:val="24"/>
          <w:szCs w:val="24"/>
        </w:rPr>
        <w:t>t: “I walk by a retention pond every day. I never heard of any problems with any algae there.” Be very careful with Public Health pronouncements regarding cyanobacteria, especially Microcystis in Lake Erie. Since the source of most illness from cyanobacteria comes from inhalation of droplets of water, when one hears that the water from Lake Erie in Toledo is unsafe to drink but safe to use for showering, do not believe it.</w:t>
      </w:r>
    </w:p>
    <w:p w14:paraId="14591F30" w14:textId="77777777" w:rsidR="008F352C" w:rsidRPr="002D3A6E" w:rsidRDefault="008F352C" w:rsidP="00466750">
      <w:pPr>
        <w:pStyle w:val="BodyA"/>
        <w:spacing w:after="0"/>
        <w:jc w:val="both"/>
        <w:rPr>
          <w:rFonts w:ascii="Times New Roman" w:hAnsi="Times New Roman" w:cs="Times New Roman"/>
          <w:sz w:val="24"/>
          <w:szCs w:val="24"/>
        </w:rPr>
      </w:pPr>
    </w:p>
    <w:p w14:paraId="007FFFE7" w14:textId="12E32DC2" w:rsidR="009A57DA" w:rsidRDefault="00752705" w:rsidP="00466750">
      <w:pPr>
        <w:pStyle w:val="BodyA"/>
        <w:spacing w:after="0"/>
        <w:jc w:val="both"/>
        <w:rPr>
          <w:rStyle w:val="None"/>
          <w:rFonts w:ascii="Times New Roman" w:hAnsi="Times New Roman" w:cs="Times New Roman"/>
          <w:sz w:val="24"/>
          <w:szCs w:val="24"/>
        </w:rPr>
      </w:pPr>
      <w:r>
        <w:rPr>
          <w:rStyle w:val="None"/>
          <w:rFonts w:ascii="Times New Roman" w:hAnsi="Times New Roman" w:cs="Times New Roman"/>
          <w:sz w:val="24"/>
          <w:szCs w:val="24"/>
        </w:rPr>
        <w:t>As this consensus</w:t>
      </w:r>
      <w:r w:rsidR="008F352C" w:rsidRPr="002D3A6E">
        <w:rPr>
          <w:rStyle w:val="None"/>
          <w:rFonts w:ascii="Times New Roman" w:hAnsi="Times New Roman" w:cs="Times New Roman"/>
          <w:sz w:val="24"/>
          <w:szCs w:val="24"/>
        </w:rPr>
        <w:t xml:space="preserve"> move</w:t>
      </w:r>
      <w:r>
        <w:rPr>
          <w:rStyle w:val="None"/>
          <w:rFonts w:ascii="Times New Roman" w:hAnsi="Times New Roman" w:cs="Times New Roman"/>
          <w:sz w:val="24"/>
          <w:szCs w:val="24"/>
        </w:rPr>
        <w:t>s</w:t>
      </w:r>
      <w:r w:rsidR="008F352C" w:rsidRPr="002D3A6E">
        <w:rPr>
          <w:rStyle w:val="None"/>
          <w:rFonts w:ascii="Times New Roman" w:hAnsi="Times New Roman" w:cs="Times New Roman"/>
          <w:sz w:val="24"/>
          <w:szCs w:val="24"/>
        </w:rPr>
        <w:t xml:space="preserve"> forward to specific illness categories below, remember that there is no state in the US that does not get deliveries of reef fish. There is no state </w:t>
      </w:r>
      <w:r w:rsidR="004B31C3">
        <w:rPr>
          <w:rStyle w:val="None"/>
          <w:rFonts w:ascii="Times New Roman" w:hAnsi="Times New Roman" w:cs="Times New Roman"/>
          <w:sz w:val="24"/>
          <w:szCs w:val="24"/>
        </w:rPr>
        <w:t>that does not have problems with</w:t>
      </w:r>
      <w:r w:rsidR="008F352C" w:rsidRPr="002D3A6E">
        <w:rPr>
          <w:rStyle w:val="None"/>
          <w:rFonts w:ascii="Times New Roman" w:hAnsi="Times New Roman" w:cs="Times New Roman"/>
          <w:sz w:val="24"/>
          <w:szCs w:val="24"/>
        </w:rPr>
        <w:t xml:space="preserve"> Harmful Algal Blooms at some time.</w:t>
      </w:r>
      <w:r w:rsidR="009A57DA">
        <w:rPr>
          <w:rStyle w:val="None"/>
          <w:rFonts w:ascii="Times New Roman" w:hAnsi="Times New Roman" w:cs="Times New Roman"/>
          <w:sz w:val="24"/>
          <w:szCs w:val="24"/>
        </w:rPr>
        <w:t xml:space="preserve"> </w:t>
      </w:r>
    </w:p>
    <w:p w14:paraId="3A0E2405" w14:textId="4988F298" w:rsidR="008F352C" w:rsidRDefault="008F352C" w:rsidP="00466750">
      <w:pPr>
        <w:pStyle w:val="BodyA"/>
        <w:spacing w:after="0"/>
        <w:jc w:val="both"/>
        <w:rPr>
          <w:rStyle w:val="None"/>
          <w:rFonts w:ascii="Times New Roman" w:hAnsi="Times New Roman" w:cs="Times New Roman"/>
          <w:sz w:val="24"/>
          <w:szCs w:val="24"/>
        </w:rPr>
      </w:pPr>
      <w:r w:rsidRPr="002D3A6E">
        <w:rPr>
          <w:rStyle w:val="None"/>
          <w:rFonts w:ascii="Times New Roman" w:hAnsi="Times New Roman" w:cs="Times New Roman"/>
          <w:sz w:val="24"/>
          <w:szCs w:val="24"/>
        </w:rPr>
        <w:t xml:space="preserve"> </w:t>
      </w:r>
    </w:p>
    <w:p w14:paraId="1F904EB4" w14:textId="3197512B" w:rsidR="009A57DA" w:rsidRPr="002D3A6E" w:rsidRDefault="00752705" w:rsidP="00466750">
      <w:pPr>
        <w:pStyle w:val="BodyA"/>
        <w:spacing w:after="0"/>
        <w:jc w:val="both"/>
        <w:rPr>
          <w:rFonts w:ascii="Times New Roman" w:hAnsi="Times New Roman" w:cs="Times New Roman"/>
          <w:sz w:val="24"/>
          <w:szCs w:val="24"/>
        </w:rPr>
      </w:pPr>
      <w:r>
        <w:rPr>
          <w:rFonts w:ascii="Times New Roman" w:eastAsia="Arial Unicode MS" w:hAnsi="Times New Roman" w:cs="Times New Roman"/>
          <w:color w:val="auto"/>
          <w:sz w:val="24"/>
          <w:szCs w:val="24"/>
        </w:rPr>
        <w:t>Over</w:t>
      </w:r>
      <w:r w:rsidR="009A57DA" w:rsidRPr="009A57DA">
        <w:rPr>
          <w:rFonts w:ascii="Times New Roman" w:eastAsia="Arial Unicode MS" w:hAnsi="Times New Roman" w:cs="Times New Roman"/>
          <w:color w:val="auto"/>
          <w:sz w:val="24"/>
          <w:szCs w:val="24"/>
        </w:rPr>
        <w:t xml:space="preserve"> 80% of CIRS cases reported stem from exposure to the interior environment of water-d</w:t>
      </w:r>
      <w:r>
        <w:rPr>
          <w:rFonts w:ascii="Times New Roman" w:eastAsia="Arial Unicode MS" w:hAnsi="Times New Roman" w:cs="Times New Roman"/>
          <w:color w:val="auto"/>
          <w:sz w:val="24"/>
          <w:szCs w:val="24"/>
        </w:rPr>
        <w:t>amaged buildings (WDB).  What is not known</w:t>
      </w:r>
      <w:r w:rsidR="009A57DA" w:rsidRPr="009A57DA">
        <w:rPr>
          <w:rFonts w:ascii="Times New Roman" w:eastAsia="Arial Unicode MS" w:hAnsi="Times New Roman" w:cs="Times New Roman"/>
          <w:color w:val="auto"/>
          <w:sz w:val="24"/>
          <w:szCs w:val="24"/>
        </w:rPr>
        <w:t xml:space="preserve"> is the effect microbial toxins versus microbial particles have on pathophysiology.  Studies have shown that for every spore found, over 500 fragments are present (18)</w:t>
      </w:r>
      <w:r w:rsidR="009A57DA" w:rsidRPr="009A57DA">
        <w:rPr>
          <w:rFonts w:ascii="Times New Roman" w:eastAsia="Arial Unicode MS" w:hAnsi="Times New Roman" w:cs="Times New Roman"/>
          <w:color w:val="FF0000"/>
          <w:sz w:val="24"/>
          <w:szCs w:val="24"/>
        </w:rPr>
        <w:t xml:space="preserve">.  </w:t>
      </w:r>
      <w:r w:rsidR="009A57DA" w:rsidRPr="009A57DA">
        <w:rPr>
          <w:rFonts w:ascii="Times New Roman" w:eastAsia="Arial Unicode MS" w:hAnsi="Times New Roman" w:cs="Times New Roman"/>
          <w:color w:val="auto"/>
          <w:sz w:val="24"/>
          <w:szCs w:val="24"/>
        </w:rPr>
        <w:t>Fragments of amplified molds, bacteria,</w:t>
      </w:r>
      <w:r w:rsidR="004D6912">
        <w:rPr>
          <w:rFonts w:ascii="Times New Roman" w:eastAsia="Arial Unicode MS" w:hAnsi="Times New Roman" w:cs="Times New Roman"/>
          <w:color w:val="auto"/>
          <w:sz w:val="24"/>
          <w:szCs w:val="24"/>
        </w:rPr>
        <w:t xml:space="preserve"> actinomycetes and mycobacteria</w:t>
      </w:r>
      <w:r w:rsidR="009A57DA" w:rsidRPr="009A57DA">
        <w:rPr>
          <w:rFonts w:ascii="Times New Roman" w:eastAsia="Arial Unicode MS" w:hAnsi="Times New Roman" w:cs="Times New Roman"/>
          <w:color w:val="auto"/>
          <w:sz w:val="24"/>
          <w:szCs w:val="24"/>
        </w:rPr>
        <w:t xml:space="preserve"> may possess toxins and certainly contain inflammagenic material which, once the fragments are inhaled, are detected by the innate immune system starting the CIRS process in the genetically predisposed.</w:t>
      </w:r>
    </w:p>
    <w:p w14:paraId="4B889467" w14:textId="77777777" w:rsidR="008F352C" w:rsidRPr="002D3A6E" w:rsidRDefault="008F352C" w:rsidP="00466750">
      <w:pPr>
        <w:pStyle w:val="BodyA"/>
        <w:spacing w:after="0"/>
        <w:jc w:val="both"/>
        <w:rPr>
          <w:rFonts w:ascii="Times New Roman" w:hAnsi="Times New Roman" w:cs="Times New Roman"/>
          <w:sz w:val="24"/>
          <w:szCs w:val="24"/>
        </w:rPr>
      </w:pPr>
    </w:p>
    <w:p w14:paraId="51B22349" w14:textId="0E4C38F6" w:rsidR="008F352C" w:rsidRDefault="008F352C" w:rsidP="00466750">
      <w:pPr>
        <w:pStyle w:val="BodyA"/>
        <w:spacing w:after="0"/>
        <w:jc w:val="both"/>
        <w:rPr>
          <w:rFonts w:ascii="Times New Roman" w:hAnsi="Times New Roman" w:cs="Times New Roman"/>
          <w:sz w:val="24"/>
          <w:szCs w:val="24"/>
        </w:rPr>
      </w:pPr>
      <w:r w:rsidRPr="002D3A6E">
        <w:rPr>
          <w:rStyle w:val="None"/>
          <w:rFonts w:ascii="Times New Roman" w:hAnsi="Times New Roman" w:cs="Times New Roman"/>
          <w:sz w:val="24"/>
          <w:szCs w:val="24"/>
        </w:rPr>
        <w:t>It may seem odd that, until recently, only fungal DNA measurements were used to assess human health risk. The EPA adopted the research advances coming from Vesper and colleagues, selling a license to use Vesper’s methods commercially, beginning in 1996.</w:t>
      </w:r>
      <w:r w:rsidRPr="002D3A6E">
        <w:rPr>
          <w:rFonts w:ascii="Times New Roman" w:hAnsi="Times New Roman" w:cs="Times New Roman"/>
          <w:sz w:val="24"/>
          <w:szCs w:val="24"/>
        </w:rPr>
        <w:t xml:space="preserve"> This test, called the Environmental Relative Moldiness Index (ERMI) was found to be cumbersome in interpretation, as fungi counts from benign species added t</w:t>
      </w:r>
      <w:r w:rsidR="004B31C3">
        <w:rPr>
          <w:rFonts w:ascii="Times New Roman" w:hAnsi="Times New Roman" w:cs="Times New Roman"/>
          <w:sz w:val="24"/>
          <w:szCs w:val="24"/>
        </w:rPr>
        <w:t>o supposed risk assessment</w:t>
      </w:r>
      <w:r w:rsidRPr="002D3A6E">
        <w:rPr>
          <w:rFonts w:ascii="Times New Roman" w:hAnsi="Times New Roman" w:cs="Times New Roman"/>
          <w:sz w:val="24"/>
          <w:szCs w:val="24"/>
        </w:rPr>
        <w:t xml:space="preserve">. A follow-up test, HERTSMI-2, also based on spore equivalents/mg of dust, was found to be </w:t>
      </w:r>
      <w:r w:rsidR="004B31C3">
        <w:rPr>
          <w:rFonts w:ascii="Times New Roman" w:hAnsi="Times New Roman" w:cs="Times New Roman"/>
          <w:sz w:val="24"/>
          <w:szCs w:val="24"/>
        </w:rPr>
        <w:t>more specific and sensitive (19, 20</w:t>
      </w:r>
      <w:r w:rsidRPr="002D3A6E">
        <w:rPr>
          <w:rFonts w:ascii="Times New Roman" w:hAnsi="Times New Roman" w:cs="Times New Roman"/>
          <w:sz w:val="24"/>
          <w:szCs w:val="24"/>
        </w:rPr>
        <w:t>).</w:t>
      </w:r>
    </w:p>
    <w:p w14:paraId="442446F1" w14:textId="77777777" w:rsidR="004B31C3" w:rsidRDefault="004B31C3" w:rsidP="00466750">
      <w:pPr>
        <w:pStyle w:val="BodyA"/>
        <w:spacing w:after="0"/>
        <w:jc w:val="both"/>
        <w:rPr>
          <w:rFonts w:ascii="Times New Roman" w:hAnsi="Times New Roman" w:cs="Times New Roman"/>
          <w:sz w:val="24"/>
          <w:szCs w:val="24"/>
        </w:rPr>
      </w:pPr>
    </w:p>
    <w:p w14:paraId="3EC25967" w14:textId="223CC3E8" w:rsidR="004B31C3" w:rsidRPr="002D3A6E" w:rsidRDefault="004B31C3" w:rsidP="00466750">
      <w:pPr>
        <w:pStyle w:val="BodyA"/>
        <w:spacing w:after="0"/>
        <w:jc w:val="both"/>
        <w:rPr>
          <w:rFonts w:ascii="Times New Roman" w:hAnsi="Times New Roman" w:cs="Times New Roman"/>
          <w:sz w:val="24"/>
          <w:szCs w:val="24"/>
        </w:rPr>
      </w:pPr>
      <w:r>
        <w:rPr>
          <w:rFonts w:ascii="Times New Roman" w:hAnsi="Times New Roman" w:cs="Times New Roman"/>
          <w:sz w:val="24"/>
          <w:szCs w:val="24"/>
        </w:rPr>
        <w:t xml:space="preserve">As time has passed, use of molecular methods (21), especially including transcriptomics, is </w:t>
      </w:r>
      <w:r w:rsidR="004717E3">
        <w:rPr>
          <w:rFonts w:ascii="Times New Roman" w:hAnsi="Times New Roman" w:cs="Times New Roman"/>
          <w:sz w:val="24"/>
          <w:szCs w:val="24"/>
        </w:rPr>
        <w:t xml:space="preserve">complementing </w:t>
      </w:r>
      <w:r>
        <w:rPr>
          <w:rFonts w:ascii="Times New Roman" w:hAnsi="Times New Roman" w:cs="Times New Roman"/>
          <w:sz w:val="24"/>
          <w:szCs w:val="24"/>
        </w:rPr>
        <w:t>proteomics in assessment of causation of patient illness following exposure to WDB</w:t>
      </w:r>
      <w:r w:rsidR="00280D44">
        <w:rPr>
          <w:rFonts w:ascii="Times New Roman" w:hAnsi="Times New Roman" w:cs="Times New Roman"/>
          <w:sz w:val="24"/>
          <w:szCs w:val="24"/>
        </w:rPr>
        <w:t>. With a distinctive molecular pattern marking gene activation by trichothecenes and actinomycetes (16), together with clusters of differentiation for endotoxin exposure (CD14, ref 16) and beta glucans, (CD 248; ref 16), the era of reliance on urinary mycotoxin testing, uncompromisingly exposed as unreliable by the CDC (22) has passed.</w:t>
      </w:r>
    </w:p>
    <w:p w14:paraId="3A0088A1" w14:textId="77777777" w:rsidR="008F352C" w:rsidRPr="002D3A6E" w:rsidRDefault="008F352C" w:rsidP="00466750">
      <w:pPr>
        <w:pStyle w:val="BodyA"/>
        <w:spacing w:after="0"/>
        <w:jc w:val="both"/>
        <w:rPr>
          <w:rFonts w:ascii="Times New Roman" w:hAnsi="Times New Roman" w:cs="Times New Roman"/>
          <w:sz w:val="24"/>
          <w:szCs w:val="24"/>
        </w:rPr>
      </w:pPr>
    </w:p>
    <w:p w14:paraId="580D2980" w14:textId="5C9A297B" w:rsidR="008F352C" w:rsidRPr="002D3A6E" w:rsidRDefault="00AE3991" w:rsidP="00466750">
      <w:pPr>
        <w:pStyle w:val="BodyA"/>
        <w:spacing w:after="0"/>
        <w:jc w:val="both"/>
        <w:rPr>
          <w:rFonts w:ascii="Times New Roman" w:hAnsi="Times New Roman" w:cs="Times New Roman"/>
          <w:sz w:val="24"/>
          <w:szCs w:val="24"/>
        </w:rPr>
      </w:pPr>
      <w:r>
        <w:rPr>
          <w:rFonts w:ascii="Times New Roman" w:hAnsi="Times New Roman" w:cs="Times New Roman"/>
          <w:sz w:val="24"/>
          <w:szCs w:val="24"/>
        </w:rPr>
        <w:t>Both fungal</w:t>
      </w:r>
      <w:r w:rsidR="008F352C" w:rsidRPr="002D3A6E">
        <w:rPr>
          <w:rFonts w:ascii="Times New Roman" w:hAnsi="Times New Roman" w:cs="Times New Roman"/>
          <w:sz w:val="24"/>
          <w:szCs w:val="24"/>
        </w:rPr>
        <w:t xml:space="preserve"> QPCR measures necessarily failed to identify risks from bacterial endotoxin and filamentous bacteria, actinomycetes. Now that advanced testing for endotoxin and actinomycetes is available (EnviroBiomics</w:t>
      </w:r>
      <w:r w:rsidR="00280D44">
        <w:rPr>
          <w:rFonts w:ascii="Times New Roman" w:hAnsi="Times New Roman" w:cs="Times New Roman"/>
          <w:sz w:val="24"/>
          <w:szCs w:val="24"/>
        </w:rPr>
        <w:t xml:space="preserve"> and Mycometrics</w:t>
      </w:r>
      <w:r w:rsidR="008F352C" w:rsidRPr="002D3A6E">
        <w:rPr>
          <w:rFonts w:ascii="Times New Roman" w:hAnsi="Times New Roman" w:cs="Times New Roman"/>
          <w:sz w:val="24"/>
          <w:szCs w:val="24"/>
        </w:rPr>
        <w:t xml:space="preserve">), </w:t>
      </w:r>
      <w:r w:rsidR="00280D44">
        <w:rPr>
          <w:rFonts w:ascii="Times New Roman" w:hAnsi="Times New Roman" w:cs="Times New Roman"/>
          <w:sz w:val="24"/>
          <w:szCs w:val="24"/>
        </w:rPr>
        <w:t xml:space="preserve">as well as with quality-assured molecular methods, </w:t>
      </w:r>
      <w:r w:rsidR="008F352C" w:rsidRPr="002D3A6E">
        <w:rPr>
          <w:rFonts w:ascii="Times New Roman" w:hAnsi="Times New Roman" w:cs="Times New Roman"/>
          <w:sz w:val="24"/>
          <w:szCs w:val="24"/>
        </w:rPr>
        <w:t>the future of</w:t>
      </w:r>
      <w:r w:rsidR="00280D44">
        <w:rPr>
          <w:rFonts w:ascii="Times New Roman" w:hAnsi="Times New Roman" w:cs="Times New Roman"/>
          <w:sz w:val="24"/>
          <w:szCs w:val="24"/>
        </w:rPr>
        <w:t xml:space="preserve"> accurate microbial assessments is bright.</w:t>
      </w:r>
      <w:r w:rsidR="00550E8A" w:rsidRPr="002D3A6E">
        <w:rPr>
          <w:rFonts w:ascii="Times New Roman" w:hAnsi="Times New Roman" w:cs="Times New Roman"/>
          <w:sz w:val="24"/>
          <w:szCs w:val="24"/>
        </w:rPr>
        <w:t xml:space="preserve"> </w:t>
      </w:r>
      <w:r w:rsidR="008F352C" w:rsidRPr="002D3A6E">
        <w:rPr>
          <w:rStyle w:val="None"/>
          <w:rFonts w:ascii="Times New Roman" w:hAnsi="Times New Roman" w:cs="Times New Roman"/>
          <w:sz w:val="24"/>
          <w:szCs w:val="24"/>
        </w:rPr>
        <w:t>WDB are the most important exposure</w:t>
      </w:r>
      <w:r w:rsidR="002C487C">
        <w:rPr>
          <w:rStyle w:val="None"/>
          <w:rFonts w:ascii="Times New Roman" w:hAnsi="Times New Roman" w:cs="Times New Roman"/>
          <w:sz w:val="24"/>
          <w:szCs w:val="24"/>
        </w:rPr>
        <w:t>s</w:t>
      </w:r>
      <w:r w:rsidR="008F352C" w:rsidRPr="002D3A6E">
        <w:rPr>
          <w:rStyle w:val="None"/>
          <w:rFonts w:ascii="Times New Roman" w:hAnsi="Times New Roman" w:cs="Times New Roman"/>
          <w:sz w:val="24"/>
          <w:szCs w:val="24"/>
        </w:rPr>
        <w:t xml:space="preserve"> that resu</w:t>
      </w:r>
      <w:r w:rsidR="00752705">
        <w:rPr>
          <w:rStyle w:val="None"/>
          <w:rFonts w:ascii="Times New Roman" w:hAnsi="Times New Roman" w:cs="Times New Roman"/>
          <w:sz w:val="24"/>
          <w:szCs w:val="24"/>
        </w:rPr>
        <w:t>lts in CIRS.</w:t>
      </w:r>
    </w:p>
    <w:p w14:paraId="0BFE0612" w14:textId="77777777" w:rsidR="008F352C" w:rsidRDefault="008F352C" w:rsidP="00466750">
      <w:pPr>
        <w:pStyle w:val="BodyA"/>
        <w:spacing w:after="0"/>
        <w:jc w:val="both"/>
      </w:pPr>
    </w:p>
    <w:p w14:paraId="5A8C7773" w14:textId="77777777" w:rsidR="002C487C" w:rsidRPr="002D3A6E" w:rsidRDefault="002C487C" w:rsidP="00466750">
      <w:pPr>
        <w:jc w:val="both"/>
        <w:rPr>
          <w:rFonts w:ascii="Calibri" w:eastAsia="Calibri" w:hAnsi="Calibri" w:cs="Calibri"/>
          <w:color w:val="000000"/>
          <w:sz w:val="28"/>
          <w:szCs w:val="28"/>
          <w:u w:color="000000"/>
        </w:rPr>
      </w:pPr>
      <w:r w:rsidRPr="002D3A6E">
        <w:rPr>
          <w:rFonts w:eastAsia="Calibri" w:cs="Calibri"/>
          <w:b/>
          <w:bCs/>
          <w:color w:val="000000"/>
          <w:sz w:val="28"/>
          <w:szCs w:val="28"/>
          <w:u w:color="000000"/>
        </w:rPr>
        <w:t>Section 7. Environmental history specifically applied to WDB</w:t>
      </w:r>
    </w:p>
    <w:p w14:paraId="59CF5290" w14:textId="77777777" w:rsidR="002C487C" w:rsidRPr="007F1C85" w:rsidRDefault="002C487C" w:rsidP="00466750">
      <w:pPr>
        <w:jc w:val="both"/>
        <w:rPr>
          <w:rFonts w:ascii="Calibri" w:eastAsia="Calibri" w:hAnsi="Calibri" w:cs="Calibri"/>
          <w:color w:val="000000"/>
          <w:sz w:val="22"/>
          <w:szCs w:val="22"/>
          <w:u w:color="000000"/>
        </w:rPr>
      </w:pPr>
    </w:p>
    <w:p w14:paraId="019F4BB6" w14:textId="77777777"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b/>
          <w:bCs/>
          <w:color w:val="000000"/>
          <w:u w:color="000000"/>
        </w:rPr>
        <w:t>OVERVIEW</w:t>
      </w:r>
    </w:p>
    <w:p w14:paraId="57284016" w14:textId="77777777"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lang w:val="nl-NL"/>
        </w:rPr>
        <w:t>An Indoor Environmental Professional</w:t>
      </w:r>
      <w:r w:rsidRPr="007F1C85">
        <w:rPr>
          <w:rFonts w:eastAsia="Calibri" w:cs="Calibri"/>
          <w:color w:val="000000"/>
          <w:u w:color="000000"/>
        </w:rPr>
        <w:t>’</w:t>
      </w:r>
      <w:r w:rsidRPr="007F1C85">
        <w:rPr>
          <w:rFonts w:eastAsia="Calibri" w:cs="Calibri"/>
          <w:color w:val="000000"/>
          <w:u w:color="000000"/>
          <w:lang w:val="fr-FR"/>
        </w:rPr>
        <w:t>s (IEP) perspective</w:t>
      </w:r>
    </w:p>
    <w:p w14:paraId="3E2F63F6" w14:textId="77777777" w:rsidR="002C487C" w:rsidRPr="007F1C85" w:rsidRDefault="002C487C" w:rsidP="00466750">
      <w:pPr>
        <w:jc w:val="both"/>
        <w:rPr>
          <w:rFonts w:ascii="Calibri" w:eastAsia="Calibri" w:hAnsi="Calibri" w:cs="Calibri"/>
          <w:color w:val="000000"/>
          <w:sz w:val="22"/>
          <w:szCs w:val="22"/>
          <w:u w:color="000000"/>
        </w:rPr>
      </w:pPr>
      <w:r w:rsidRPr="00752705">
        <w:rPr>
          <w:rFonts w:eastAsia="Calibri" w:cs="Calibri"/>
          <w:b/>
          <w:color w:val="000000"/>
          <w:u w:color="000000"/>
          <w:lang w:val="de-DE"/>
        </w:rPr>
        <w:t>Michael Schrantz</w:t>
      </w:r>
      <w:r w:rsidRPr="007F1C85">
        <w:rPr>
          <w:rFonts w:eastAsia="Calibri" w:cs="Calibri"/>
          <w:color w:val="000000"/>
          <w:u w:color="000000"/>
          <w:lang w:val="de-DE"/>
        </w:rPr>
        <w:t>, Tucson, Arizona</w:t>
      </w:r>
    </w:p>
    <w:p w14:paraId="3B1A9CC0" w14:textId="77777777" w:rsidR="002C487C" w:rsidRPr="007F1C85" w:rsidRDefault="002C487C" w:rsidP="00466750">
      <w:pPr>
        <w:jc w:val="both"/>
        <w:rPr>
          <w:rFonts w:ascii="Calibri" w:eastAsia="Calibri" w:hAnsi="Calibri" w:cs="Calibri"/>
          <w:color w:val="000000"/>
          <w:sz w:val="22"/>
          <w:szCs w:val="22"/>
          <w:u w:color="000000"/>
        </w:rPr>
      </w:pPr>
    </w:p>
    <w:p w14:paraId="06FC3710" w14:textId="22CBD1F1"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rPr>
        <w:t>CIRS is surrounded by the primary</w:t>
      </w:r>
      <w:r w:rsidR="008D1454">
        <w:rPr>
          <w:rFonts w:eastAsia="Calibri" w:cs="Calibri"/>
          <w:color w:val="000000"/>
          <w:u w:color="000000"/>
        </w:rPr>
        <w:t xml:space="preserve"> concern of being exposed to a water-damaged-b</w:t>
      </w:r>
      <w:r w:rsidRPr="007F1C85">
        <w:rPr>
          <w:rFonts w:eastAsia="Calibri" w:cs="Calibri"/>
          <w:color w:val="000000"/>
          <w:u w:color="000000"/>
        </w:rPr>
        <w:t xml:space="preserve">uilding (WDB). One of the first steps in the </w:t>
      </w:r>
      <w:r w:rsidR="008D1454">
        <w:rPr>
          <w:rFonts w:eastAsia="Calibri" w:cs="Calibri"/>
          <w:color w:val="000000"/>
          <w:u w:color="000000"/>
        </w:rPr>
        <w:t xml:space="preserve">published </w:t>
      </w:r>
      <w:r w:rsidRPr="007F1C85">
        <w:rPr>
          <w:rFonts w:eastAsia="Calibri" w:cs="Calibri"/>
          <w:color w:val="000000"/>
          <w:u w:color="000000"/>
        </w:rPr>
        <w:t xml:space="preserve">Shoemaker </w:t>
      </w:r>
      <w:r w:rsidR="008D1454">
        <w:rPr>
          <w:rFonts w:eastAsia="Calibri" w:cs="Calibri"/>
          <w:color w:val="000000"/>
          <w:u w:color="000000"/>
        </w:rPr>
        <w:t>Treatment Protocol</w:t>
      </w:r>
      <w:r w:rsidRPr="007F1C85">
        <w:rPr>
          <w:rFonts w:eastAsia="Calibri" w:cs="Calibri"/>
          <w:color w:val="000000"/>
          <w:u w:color="000000"/>
        </w:rPr>
        <w:t xml:space="preserve"> is to remove the diagnosed patient from exposure to a WDB. While ERMI/HERTSMI-2 scoring offers a reliable, medically-backed and patient-driven index that SP-following physicians’ use in their practice, such an index does not explain how and why a building may be labeled as a WDB. Understanding the environmental history of a building can provide additional evidence that it may, in fact, be a WDB.</w:t>
      </w:r>
    </w:p>
    <w:p w14:paraId="14D914F7" w14:textId="77777777" w:rsidR="002C487C" w:rsidRPr="007F1C85" w:rsidRDefault="002C487C" w:rsidP="00466750">
      <w:pPr>
        <w:jc w:val="both"/>
        <w:rPr>
          <w:rFonts w:ascii="Calibri" w:eastAsia="Calibri" w:hAnsi="Calibri" w:cs="Calibri"/>
          <w:color w:val="000000"/>
          <w:sz w:val="22"/>
          <w:szCs w:val="22"/>
          <w:u w:color="000000"/>
        </w:rPr>
      </w:pPr>
    </w:p>
    <w:p w14:paraId="67060B63" w14:textId="7A092BD3"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rPr>
        <w:t xml:space="preserve">The focus of this section is to help physicians better understand what makes a building </w:t>
      </w:r>
      <w:r w:rsidR="008D1454">
        <w:rPr>
          <w:rFonts w:eastAsia="Calibri" w:cs="Calibri"/>
          <w:color w:val="000000"/>
          <w:u w:color="000000"/>
        </w:rPr>
        <w:t>a WDB, and</w:t>
      </w:r>
      <w:r w:rsidRPr="007F1C85">
        <w:rPr>
          <w:rFonts w:eastAsia="Calibri" w:cs="Calibri"/>
          <w:color w:val="000000"/>
          <w:u w:color="000000"/>
        </w:rPr>
        <w:t xml:space="preserve"> more accurately recognize when exposure to their patients may be occurring.</w:t>
      </w:r>
    </w:p>
    <w:p w14:paraId="6DEFD5FD" w14:textId="77777777" w:rsidR="002C487C" w:rsidRPr="007F1C85" w:rsidRDefault="002C487C" w:rsidP="00466750">
      <w:pPr>
        <w:jc w:val="both"/>
        <w:rPr>
          <w:rFonts w:ascii="Calibri" w:eastAsia="Calibri" w:hAnsi="Calibri" w:cs="Calibri"/>
          <w:color w:val="000000"/>
          <w:sz w:val="22"/>
          <w:szCs w:val="22"/>
          <w:u w:color="000000"/>
        </w:rPr>
      </w:pPr>
    </w:p>
    <w:p w14:paraId="24F142DF" w14:textId="77777777"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b/>
          <w:bCs/>
          <w:color w:val="000000"/>
          <w:u w:color="000000"/>
        </w:rPr>
        <w:t>What is a Water-Damaged Building (WDB)?</w:t>
      </w:r>
    </w:p>
    <w:p w14:paraId="569F3782" w14:textId="77777777" w:rsidR="002C487C" w:rsidRPr="007F1C85" w:rsidRDefault="002C487C" w:rsidP="00466750">
      <w:pPr>
        <w:jc w:val="both"/>
        <w:rPr>
          <w:rFonts w:ascii="Calibri" w:eastAsia="Calibri" w:hAnsi="Calibri" w:cs="Calibri"/>
          <w:color w:val="000000"/>
          <w:sz w:val="22"/>
          <w:szCs w:val="22"/>
          <w:u w:color="000000"/>
        </w:rPr>
      </w:pPr>
    </w:p>
    <w:p w14:paraId="35214F8B" w14:textId="47F2BDF5" w:rsidR="002C487C" w:rsidRPr="007F1C85" w:rsidRDefault="008D1454" w:rsidP="00466750">
      <w:pPr>
        <w:jc w:val="both"/>
        <w:rPr>
          <w:rFonts w:ascii="Calibri" w:eastAsia="Calibri" w:hAnsi="Calibri" w:cs="Calibri"/>
          <w:color w:val="000000"/>
          <w:sz w:val="22"/>
          <w:szCs w:val="22"/>
          <w:u w:color="000000"/>
        </w:rPr>
      </w:pPr>
      <w:r>
        <w:rPr>
          <w:rFonts w:eastAsia="Calibri" w:cs="Calibri"/>
          <w:color w:val="000000"/>
          <w:u w:color="000000"/>
        </w:rPr>
        <w:t>For our case definition, as used by the Surviving Mold</w:t>
      </w:r>
      <w:r w:rsidR="002C487C" w:rsidRPr="007F1C85">
        <w:rPr>
          <w:rFonts w:eastAsia="Calibri" w:cs="Calibri"/>
          <w:color w:val="000000"/>
          <w:u w:color="000000"/>
        </w:rPr>
        <w:t xml:space="preserve"> community, any building (including residence, school, and workplace) that </w:t>
      </w:r>
      <w:r w:rsidR="002C487C">
        <w:rPr>
          <w:rFonts w:eastAsia="Calibri" w:cs="Calibri"/>
          <w:color w:val="000000"/>
          <w:u w:color="000000"/>
        </w:rPr>
        <w:t xml:space="preserve">is suffering, or </w:t>
      </w:r>
      <w:r w:rsidR="002C487C" w:rsidRPr="007F1C85">
        <w:rPr>
          <w:rFonts w:eastAsia="Calibri" w:cs="Calibri"/>
          <w:color w:val="000000"/>
          <w:u w:color="000000"/>
        </w:rPr>
        <w:t>has suffered</w:t>
      </w:r>
      <w:r w:rsidR="002C487C">
        <w:rPr>
          <w:rFonts w:eastAsia="Calibri" w:cs="Calibri"/>
          <w:color w:val="000000"/>
          <w:u w:color="000000"/>
        </w:rPr>
        <w:t xml:space="preserve"> one or multiple events</w:t>
      </w:r>
      <w:r w:rsidR="002C487C" w:rsidRPr="007F1C85">
        <w:rPr>
          <w:rFonts w:eastAsia="Calibri" w:cs="Calibri"/>
          <w:color w:val="000000"/>
          <w:u w:color="000000"/>
        </w:rPr>
        <w:t xml:space="preserve"> from damp conditions</w:t>
      </w:r>
      <w:r w:rsidR="002C487C">
        <w:rPr>
          <w:rFonts w:eastAsia="Calibri" w:cs="Calibri"/>
          <w:color w:val="000000"/>
          <w:u w:color="000000"/>
        </w:rPr>
        <w:t>,</w:t>
      </w:r>
      <w:r w:rsidR="002C487C" w:rsidRPr="007F1C85">
        <w:rPr>
          <w:rFonts w:eastAsia="Calibri" w:cs="Calibri"/>
          <w:color w:val="000000"/>
          <w:u w:color="000000"/>
        </w:rPr>
        <w:t xml:space="preserve"> or water damage is a WDB. </w:t>
      </w:r>
      <w:r>
        <w:rPr>
          <w:rFonts w:eastAsia="Calibri" w:cs="Calibri"/>
          <w:color w:val="000000"/>
          <w:u w:color="000000"/>
        </w:rPr>
        <w:t>Simply stated: uncorrected water intrusion lasting more than two days will be followed by microbial growth.</w:t>
      </w:r>
    </w:p>
    <w:p w14:paraId="59F54EC0" w14:textId="77777777" w:rsidR="002C487C" w:rsidRDefault="002C487C" w:rsidP="00466750">
      <w:pPr>
        <w:jc w:val="both"/>
        <w:rPr>
          <w:rFonts w:eastAsia="Calibri" w:cs="Calibri"/>
          <w:color w:val="000000"/>
          <w:u w:color="000000"/>
        </w:rPr>
      </w:pPr>
    </w:p>
    <w:p w14:paraId="194DE284" w14:textId="3F924DA5"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rPr>
        <w:t>The World H</w:t>
      </w:r>
      <w:r w:rsidR="00247CE5">
        <w:rPr>
          <w:rFonts w:eastAsia="Calibri" w:cs="Calibri"/>
          <w:color w:val="000000"/>
          <w:u w:color="000000"/>
        </w:rPr>
        <w:t>ealth Organization estimates</w:t>
      </w:r>
      <w:r w:rsidRPr="007F1C85">
        <w:rPr>
          <w:rFonts w:eastAsia="Calibri" w:cs="Calibri"/>
          <w:color w:val="000000"/>
          <w:u w:color="000000"/>
        </w:rPr>
        <w:t xml:space="preserve"> t</w:t>
      </w:r>
      <w:r w:rsidR="00247CE5">
        <w:rPr>
          <w:rFonts w:eastAsia="Calibri" w:cs="Calibri"/>
          <w:color w:val="000000"/>
          <w:u w:color="000000"/>
        </w:rPr>
        <w:t>hat up to fifty percent of buildings</w:t>
      </w:r>
      <w:r w:rsidR="00247CE5">
        <w:rPr>
          <w:rFonts w:ascii="Calibri" w:eastAsia="Calibri" w:hAnsi="Calibri" w:cs="Calibri"/>
          <w:color w:val="000000"/>
          <w:sz w:val="22"/>
          <w:szCs w:val="22"/>
          <w:u w:color="000000"/>
        </w:rPr>
        <w:t xml:space="preserve"> </w:t>
      </w:r>
      <w:r w:rsidRPr="007F1C85">
        <w:rPr>
          <w:rFonts w:eastAsia="Calibri" w:cs="Calibri"/>
          <w:color w:val="000000"/>
          <w:u w:color="000000"/>
        </w:rPr>
        <w:t>have suffered damp conditions (</w:t>
      </w:r>
      <w:r>
        <w:rPr>
          <w:rFonts w:eastAsia="Calibri" w:cs="Calibri"/>
          <w:color w:val="000000"/>
          <w:u w:color="000000"/>
        </w:rPr>
        <w:t>1</w:t>
      </w:r>
      <w:r w:rsidRPr="007F1C85">
        <w:rPr>
          <w:rFonts w:eastAsia="Calibri" w:cs="Calibri"/>
          <w:color w:val="000000"/>
          <w:u w:color="000000"/>
        </w:rPr>
        <w:t>). In an analysis of previously collected data on a nationwide sampling of</w:t>
      </w:r>
      <w:r>
        <w:rPr>
          <w:rFonts w:ascii="Calibri" w:eastAsia="Calibri" w:hAnsi="Calibri" w:cs="Calibri"/>
          <w:color w:val="000000"/>
          <w:sz w:val="22"/>
          <w:szCs w:val="22"/>
          <w:u w:color="000000"/>
        </w:rPr>
        <w:t xml:space="preserve"> </w:t>
      </w:r>
      <w:r w:rsidRPr="007F1C85">
        <w:rPr>
          <w:rFonts w:eastAsia="Calibri" w:cs="Calibri"/>
          <w:color w:val="000000"/>
          <w:u w:color="000000"/>
        </w:rPr>
        <w:t>office buildings, Mendell and Cozen</w:t>
      </w:r>
      <w:r>
        <w:rPr>
          <w:rFonts w:eastAsia="Calibri" w:cs="Calibri"/>
          <w:color w:val="000000"/>
          <w:u w:color="000000"/>
        </w:rPr>
        <w:t xml:space="preserve"> </w:t>
      </w:r>
      <w:r w:rsidRPr="007F1C85">
        <w:rPr>
          <w:rFonts w:eastAsia="Calibri" w:cs="Calibri"/>
          <w:color w:val="000000"/>
          <w:u w:color="000000"/>
        </w:rPr>
        <w:t>found correlations between building conditions and</w:t>
      </w:r>
      <w:r>
        <w:rPr>
          <w:rFonts w:ascii="Calibri" w:eastAsia="Calibri" w:hAnsi="Calibri" w:cs="Calibri"/>
          <w:color w:val="000000"/>
          <w:sz w:val="22"/>
          <w:szCs w:val="22"/>
          <w:u w:color="000000"/>
        </w:rPr>
        <w:t xml:space="preserve"> </w:t>
      </w:r>
      <w:r w:rsidRPr="007F1C85">
        <w:rPr>
          <w:rFonts w:eastAsia="Calibri" w:cs="Calibri"/>
          <w:color w:val="000000"/>
          <w:u w:color="000000"/>
        </w:rPr>
        <w:t>worker symptoms that, if causal, “would suggest an increase in symptoms among the</w:t>
      </w:r>
      <w:r>
        <w:rPr>
          <w:rFonts w:ascii="Calibri" w:eastAsia="Calibri" w:hAnsi="Calibri" w:cs="Calibri"/>
          <w:color w:val="000000"/>
          <w:sz w:val="22"/>
          <w:szCs w:val="22"/>
          <w:u w:color="000000"/>
        </w:rPr>
        <w:t xml:space="preserve"> </w:t>
      </w:r>
      <w:r w:rsidRPr="007F1C85">
        <w:rPr>
          <w:rFonts w:eastAsia="Calibri" w:cs="Calibri"/>
          <w:color w:val="000000"/>
          <w:u w:color="000000"/>
        </w:rPr>
        <w:t>very large proportion of the U.S. workforce that is employed indoors” (</w:t>
      </w:r>
      <w:r>
        <w:rPr>
          <w:rFonts w:eastAsia="Calibri" w:cs="Calibri"/>
          <w:color w:val="000000"/>
          <w:u w:color="000000"/>
        </w:rPr>
        <w:t>2</w:t>
      </w:r>
      <w:r w:rsidRPr="007F1C85">
        <w:rPr>
          <w:rFonts w:eastAsia="Calibri" w:cs="Calibri"/>
          <w:color w:val="000000"/>
          <w:u w:color="000000"/>
        </w:rPr>
        <w:t xml:space="preserve">). Another analysis of office building data indicated that thirty to fifty </w:t>
      </w:r>
      <w:r>
        <w:rPr>
          <w:rFonts w:eastAsia="Calibri" w:cs="Calibri"/>
          <w:color w:val="000000"/>
          <w:u w:color="000000"/>
        </w:rPr>
        <w:t>percent</w:t>
      </w:r>
      <w:r>
        <w:rPr>
          <w:rFonts w:ascii="Calibri" w:eastAsia="Calibri" w:hAnsi="Calibri" w:cs="Calibri"/>
          <w:color w:val="000000"/>
          <w:sz w:val="22"/>
          <w:szCs w:val="22"/>
          <w:u w:color="000000"/>
        </w:rPr>
        <w:t xml:space="preserve"> </w:t>
      </w:r>
      <w:r w:rsidRPr="007F1C85">
        <w:rPr>
          <w:rFonts w:eastAsia="Calibri" w:cs="Calibri"/>
          <w:color w:val="000000"/>
          <w:u w:color="000000"/>
        </w:rPr>
        <w:t xml:space="preserve">of built office environments in the U.S. have suffered from water damage </w:t>
      </w:r>
      <w:r>
        <w:rPr>
          <w:rFonts w:eastAsia="Calibri" w:cs="Calibri"/>
          <w:color w:val="000000"/>
          <w:u w:color="000000"/>
        </w:rPr>
        <w:t>(3</w:t>
      </w:r>
      <w:r w:rsidRPr="007F1C85">
        <w:rPr>
          <w:rFonts w:eastAsia="Calibri" w:cs="Calibri"/>
          <w:color w:val="000000"/>
          <w:u w:color="000000"/>
        </w:rPr>
        <w:t>). A separate analysis</w:t>
      </w:r>
      <w:r w:rsidR="00247CE5">
        <w:rPr>
          <w:rFonts w:eastAsia="Calibri" w:cs="Calibri"/>
          <w:color w:val="000000"/>
          <w:u w:color="000000"/>
        </w:rPr>
        <w:t xml:space="preserve"> of</w:t>
      </w:r>
      <w:r w:rsidRPr="007F1C85">
        <w:rPr>
          <w:rFonts w:eastAsia="Calibri" w:cs="Calibri"/>
          <w:color w:val="000000"/>
          <w:u w:color="000000"/>
        </w:rPr>
        <w:t xml:space="preserve"> office building data found that 34% had current water damage</w:t>
      </w:r>
      <w:r>
        <w:rPr>
          <w:rFonts w:ascii="Calibri" w:eastAsia="Calibri" w:hAnsi="Calibri" w:cs="Calibri"/>
          <w:color w:val="000000"/>
          <w:sz w:val="22"/>
          <w:szCs w:val="22"/>
          <w:u w:color="000000"/>
        </w:rPr>
        <w:t xml:space="preserve"> </w:t>
      </w:r>
      <w:r w:rsidRPr="007F1C85">
        <w:rPr>
          <w:rFonts w:eastAsia="Calibri" w:cs="Calibri"/>
          <w:color w:val="000000"/>
          <w:u w:color="000000"/>
        </w:rPr>
        <w:t>in occupied spaces, 71% had past water damage in occupied spaces, and overall, 85% of</w:t>
      </w:r>
      <w:r>
        <w:rPr>
          <w:rFonts w:ascii="Calibri" w:eastAsia="Calibri" w:hAnsi="Calibri" w:cs="Calibri"/>
          <w:color w:val="000000"/>
          <w:sz w:val="22"/>
          <w:szCs w:val="22"/>
          <w:u w:color="000000"/>
        </w:rPr>
        <w:t xml:space="preserve"> </w:t>
      </w:r>
      <w:r w:rsidRPr="007F1C85">
        <w:rPr>
          <w:rFonts w:eastAsia="Calibri" w:cs="Calibri"/>
          <w:color w:val="000000"/>
          <w:u w:color="000000"/>
        </w:rPr>
        <w:t>the buildings had past water damage and 43% had current water damage (</w:t>
      </w:r>
      <w:r>
        <w:rPr>
          <w:rFonts w:eastAsia="Calibri" w:cs="Calibri"/>
          <w:color w:val="000000"/>
          <w:u w:color="000000"/>
        </w:rPr>
        <w:t>4</w:t>
      </w:r>
      <w:r w:rsidRPr="007F1C85">
        <w:rPr>
          <w:rFonts w:eastAsia="Calibri" w:cs="Calibri"/>
          <w:color w:val="000000"/>
          <w:u w:color="000000"/>
        </w:rPr>
        <w:t>).</w:t>
      </w:r>
      <w:r w:rsidR="00247CE5">
        <w:rPr>
          <w:rFonts w:eastAsia="Calibri" w:cs="Calibri"/>
          <w:color w:val="000000"/>
          <w:u w:color="000000"/>
        </w:rPr>
        <w:t xml:space="preserve"> The economic and </w:t>
      </w:r>
      <w:r w:rsidRPr="007F1C85">
        <w:rPr>
          <w:rFonts w:eastAsia="Calibri" w:cs="Calibri"/>
          <w:color w:val="000000"/>
          <w:u w:color="000000"/>
        </w:rPr>
        <w:t>health i</w:t>
      </w:r>
      <w:r w:rsidR="00247CE5">
        <w:rPr>
          <w:rFonts w:eastAsia="Calibri" w:cs="Calibri"/>
          <w:color w:val="000000"/>
          <w:u w:color="000000"/>
        </w:rPr>
        <w:t xml:space="preserve">mpacts of WDBs are considerable, </w:t>
      </w:r>
      <w:r w:rsidRPr="007F1C85">
        <w:rPr>
          <w:rFonts w:eastAsia="Calibri" w:cs="Calibri"/>
          <w:color w:val="000000"/>
          <w:u w:color="000000"/>
        </w:rPr>
        <w:t>warrant</w:t>
      </w:r>
      <w:r w:rsidR="00247CE5">
        <w:rPr>
          <w:rFonts w:eastAsia="Calibri" w:cs="Calibri"/>
          <w:color w:val="000000"/>
          <w:u w:color="000000"/>
        </w:rPr>
        <w:t>ing</w:t>
      </w:r>
      <w:r w:rsidRPr="007F1C85">
        <w:rPr>
          <w:rFonts w:eastAsia="Calibri" w:cs="Calibri"/>
          <w:color w:val="000000"/>
          <w:u w:color="000000"/>
        </w:rPr>
        <w:t xml:space="preserve"> closer observations (</w:t>
      </w:r>
      <w:r>
        <w:rPr>
          <w:rFonts w:eastAsia="Calibri" w:cs="Calibri"/>
          <w:color w:val="000000"/>
          <w:u w:color="000000"/>
        </w:rPr>
        <w:t>5</w:t>
      </w:r>
      <w:r w:rsidRPr="007F1C85">
        <w:rPr>
          <w:rFonts w:eastAsia="Calibri" w:cs="Calibri"/>
          <w:color w:val="000000"/>
          <w:u w:color="000000"/>
        </w:rPr>
        <w:t>).</w:t>
      </w:r>
    </w:p>
    <w:p w14:paraId="5BF79FFE" w14:textId="77777777" w:rsidR="002C487C" w:rsidRPr="007F1C85" w:rsidRDefault="002C487C" w:rsidP="00466750">
      <w:pPr>
        <w:jc w:val="both"/>
        <w:rPr>
          <w:rFonts w:ascii="Calibri" w:eastAsia="Calibri" w:hAnsi="Calibri" w:cs="Calibri"/>
          <w:color w:val="000000"/>
          <w:sz w:val="22"/>
          <w:szCs w:val="22"/>
          <w:u w:color="000000"/>
        </w:rPr>
      </w:pPr>
    </w:p>
    <w:p w14:paraId="346568D3" w14:textId="10AF4057" w:rsidR="002C487C" w:rsidRPr="007F1C85" w:rsidRDefault="00247CE5" w:rsidP="00466750">
      <w:pPr>
        <w:jc w:val="both"/>
        <w:rPr>
          <w:rFonts w:ascii="Calibri" w:eastAsia="Calibri" w:hAnsi="Calibri" w:cs="Calibri"/>
          <w:color w:val="000000"/>
          <w:sz w:val="22"/>
          <w:szCs w:val="22"/>
          <w:u w:color="000000"/>
        </w:rPr>
      </w:pPr>
      <w:r>
        <w:rPr>
          <w:rFonts w:eastAsia="Calibri" w:cs="Calibri"/>
          <w:color w:val="000000"/>
          <w:u w:color="000000"/>
        </w:rPr>
        <w:t xml:space="preserve">In </w:t>
      </w:r>
      <w:r w:rsidR="002C487C" w:rsidRPr="007F1C85">
        <w:rPr>
          <w:rFonts w:eastAsia="Calibri" w:cs="Calibri"/>
          <w:color w:val="000000"/>
          <w:u w:color="000000"/>
        </w:rPr>
        <w:t>2003, the Institute of Medicine reported finding causal links between</w:t>
      </w:r>
      <w:r>
        <w:rPr>
          <w:rFonts w:ascii="Calibri" w:eastAsia="Calibri" w:hAnsi="Calibri" w:cs="Calibri"/>
          <w:color w:val="000000"/>
          <w:sz w:val="22"/>
          <w:szCs w:val="22"/>
          <w:u w:color="000000"/>
        </w:rPr>
        <w:t xml:space="preserve"> </w:t>
      </w:r>
      <w:r w:rsidR="002C487C" w:rsidRPr="007F1C85">
        <w:rPr>
          <w:rFonts w:eastAsia="Calibri" w:cs="Calibri"/>
          <w:color w:val="000000"/>
          <w:u w:color="000000"/>
        </w:rPr>
        <w:t>WDBs and allergies, asthma and respiratory infection (</w:t>
      </w:r>
      <w:r w:rsidR="002C487C">
        <w:rPr>
          <w:rFonts w:eastAsia="Calibri" w:cs="Calibri"/>
          <w:color w:val="000000"/>
          <w:u w:color="000000"/>
        </w:rPr>
        <w:t>6</w:t>
      </w:r>
      <w:r w:rsidR="002C487C" w:rsidRPr="007F1C85">
        <w:rPr>
          <w:rFonts w:eastAsia="Calibri" w:cs="Calibri"/>
          <w:color w:val="000000"/>
          <w:u w:color="000000"/>
        </w:rPr>
        <w:t>). We</w:t>
      </w:r>
      <w:r w:rsidR="002C487C">
        <w:rPr>
          <w:rFonts w:ascii="Calibri" w:eastAsia="Calibri" w:hAnsi="Calibri" w:cs="Calibri"/>
          <w:color w:val="000000"/>
          <w:sz w:val="22"/>
          <w:szCs w:val="22"/>
          <w:u w:color="000000"/>
        </w:rPr>
        <w:t xml:space="preserve"> </w:t>
      </w:r>
      <w:r w:rsidR="002C487C" w:rsidRPr="007F1C85">
        <w:rPr>
          <w:rFonts w:eastAsia="Calibri" w:cs="Calibri"/>
          <w:color w:val="000000"/>
          <w:u w:color="000000"/>
        </w:rPr>
        <w:t>contend that there now needs to be concern for the causal link between WDBs and CIRS.</w:t>
      </w:r>
      <w:r w:rsidR="002C487C">
        <w:rPr>
          <w:rFonts w:ascii="Calibri" w:eastAsia="Calibri" w:hAnsi="Calibri" w:cs="Calibri"/>
          <w:color w:val="000000"/>
          <w:sz w:val="22"/>
          <w:szCs w:val="22"/>
          <w:u w:color="000000"/>
        </w:rPr>
        <w:t xml:space="preserve"> </w:t>
      </w:r>
      <w:r w:rsidR="002C487C" w:rsidRPr="007F1C85">
        <w:rPr>
          <w:rFonts w:eastAsia="Calibri" w:cs="Calibri"/>
          <w:color w:val="000000"/>
          <w:u w:color="000000"/>
        </w:rPr>
        <w:t>Professional investigation of WDBs should not settle for questions about allergies and</w:t>
      </w:r>
      <w:r w:rsidR="002C487C">
        <w:rPr>
          <w:rFonts w:ascii="Calibri" w:eastAsia="Calibri" w:hAnsi="Calibri" w:cs="Calibri"/>
          <w:color w:val="000000"/>
          <w:sz w:val="22"/>
          <w:szCs w:val="22"/>
          <w:u w:color="000000"/>
        </w:rPr>
        <w:t xml:space="preserve"> </w:t>
      </w:r>
      <w:r w:rsidR="002C487C" w:rsidRPr="007F1C85">
        <w:rPr>
          <w:rFonts w:eastAsia="Calibri" w:cs="Calibri"/>
          <w:color w:val="000000"/>
          <w:u w:color="000000"/>
        </w:rPr>
        <w:t>respiratory illnesses alone as older literature would suggest. The presence of a multi-symptom,</w:t>
      </w:r>
      <w:r w:rsidR="002C487C">
        <w:rPr>
          <w:rFonts w:ascii="Calibri" w:eastAsia="Calibri" w:hAnsi="Calibri" w:cs="Calibri"/>
          <w:color w:val="000000"/>
          <w:sz w:val="22"/>
          <w:szCs w:val="22"/>
          <w:u w:color="000000"/>
        </w:rPr>
        <w:t xml:space="preserve"> </w:t>
      </w:r>
      <w:r w:rsidR="002C487C" w:rsidRPr="007F1C85">
        <w:rPr>
          <w:rFonts w:eastAsia="Calibri" w:cs="Calibri"/>
          <w:color w:val="000000"/>
          <w:u w:color="000000"/>
        </w:rPr>
        <w:t>multi-system illness in one or more occupants warrants referral for medical</w:t>
      </w:r>
      <w:r w:rsidR="002C487C">
        <w:rPr>
          <w:rFonts w:ascii="Calibri" w:eastAsia="Calibri" w:hAnsi="Calibri" w:cs="Calibri"/>
          <w:color w:val="000000"/>
          <w:sz w:val="22"/>
          <w:szCs w:val="22"/>
          <w:u w:color="000000"/>
        </w:rPr>
        <w:t xml:space="preserve"> </w:t>
      </w:r>
      <w:r w:rsidR="002C487C" w:rsidRPr="007F1C85">
        <w:rPr>
          <w:rFonts w:eastAsia="Calibri" w:cs="Calibri"/>
          <w:color w:val="000000"/>
          <w:u w:color="000000"/>
        </w:rPr>
        <w:t>evaluation to see if the occupant meets the case definition for CIRS-WDB.</w:t>
      </w:r>
    </w:p>
    <w:p w14:paraId="31734357" w14:textId="77777777" w:rsidR="002C487C" w:rsidRPr="007F1C85" w:rsidRDefault="002C487C" w:rsidP="00466750">
      <w:pPr>
        <w:jc w:val="both"/>
        <w:rPr>
          <w:rFonts w:ascii="Calibri" w:eastAsia="Calibri" w:hAnsi="Calibri" w:cs="Calibri"/>
          <w:color w:val="000000"/>
          <w:sz w:val="22"/>
          <w:szCs w:val="22"/>
          <w:u w:color="000000"/>
        </w:rPr>
      </w:pPr>
    </w:p>
    <w:p w14:paraId="64FDD5C4" w14:textId="1F8C4268"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rPr>
        <w:t>Given that brief, low-dose exposures can initiate systemic inflammation in susceptible</w:t>
      </w:r>
      <w:r w:rsidR="008D1454">
        <w:rPr>
          <w:rFonts w:eastAsia="Calibri" w:cs="Calibri"/>
          <w:color w:val="000000"/>
          <w:u w:color="000000"/>
        </w:rPr>
        <w:t xml:space="preserve"> </w:t>
      </w:r>
      <w:r w:rsidRPr="007F1C85">
        <w:rPr>
          <w:rFonts w:eastAsia="Calibri" w:cs="Calibri"/>
          <w:color w:val="000000"/>
          <w:u w:color="000000"/>
        </w:rPr>
        <w:t xml:space="preserve">people, it </w:t>
      </w:r>
      <w:r w:rsidR="00AE3991" w:rsidRPr="007F1C85">
        <w:rPr>
          <w:rFonts w:eastAsia="Calibri" w:cs="Calibri"/>
          <w:color w:val="000000"/>
          <w:u w:color="000000"/>
        </w:rPr>
        <w:t>makes sense</w:t>
      </w:r>
      <w:r w:rsidRPr="007F1C85">
        <w:rPr>
          <w:rFonts w:eastAsia="Calibri" w:cs="Calibri"/>
          <w:color w:val="000000"/>
          <w:u w:color="000000"/>
        </w:rPr>
        <w:t xml:space="preserve"> that remediation is like</w:t>
      </w:r>
      <w:r w:rsidR="00247CE5">
        <w:rPr>
          <w:rFonts w:eastAsia="Calibri" w:cs="Calibri"/>
          <w:color w:val="000000"/>
          <w:u w:color="000000"/>
        </w:rPr>
        <w:t>ly to be more challenging when</w:t>
      </w:r>
      <w:r w:rsidRPr="007F1C85">
        <w:rPr>
          <w:rFonts w:eastAsia="Calibri" w:cs="Calibri"/>
          <w:color w:val="000000"/>
          <w:u w:color="000000"/>
        </w:rPr>
        <w:t xml:space="preserve"> WDB</w:t>
      </w:r>
      <w:r w:rsidR="00247CE5">
        <w:rPr>
          <w:rFonts w:eastAsia="Calibri" w:cs="Calibri"/>
          <w:color w:val="000000"/>
          <w:u w:color="000000"/>
        </w:rPr>
        <w:t>s are</w:t>
      </w:r>
      <w:r w:rsidR="00247CE5">
        <w:rPr>
          <w:rFonts w:ascii="Calibri" w:eastAsia="Calibri" w:hAnsi="Calibri" w:cs="Calibri"/>
          <w:color w:val="000000"/>
          <w:sz w:val="22"/>
          <w:szCs w:val="22"/>
          <w:u w:color="000000"/>
        </w:rPr>
        <w:t xml:space="preserve"> </w:t>
      </w:r>
      <w:r w:rsidRPr="007F1C85">
        <w:rPr>
          <w:rFonts w:eastAsia="Calibri" w:cs="Calibri"/>
          <w:color w:val="000000"/>
          <w:u w:color="000000"/>
        </w:rPr>
        <w:t>occupied by one or more persons with CIRS-WDB when compared to WDBs whose</w:t>
      </w:r>
    </w:p>
    <w:p w14:paraId="78FE9F95" w14:textId="77777777" w:rsidR="002C487C" w:rsidRPr="002E79B9" w:rsidRDefault="002C487C" w:rsidP="00466750">
      <w:pPr>
        <w:jc w:val="both"/>
        <w:rPr>
          <w:rFonts w:eastAsia="Calibri" w:cs="Calibri"/>
          <w:color w:val="000000"/>
          <w:u w:color="000000"/>
        </w:rPr>
      </w:pPr>
      <w:r w:rsidRPr="007F1C85">
        <w:rPr>
          <w:rFonts w:eastAsia="Calibri" w:cs="Calibri"/>
          <w:color w:val="000000"/>
          <w:u w:color="000000"/>
        </w:rPr>
        <w:t xml:space="preserve">occupants are healthy. The “healthy occupant” routinely uses a rated furnace filter to </w:t>
      </w:r>
      <w:r w:rsidRPr="007F1C85">
        <w:rPr>
          <w:rFonts w:eastAsia="Calibri" w:cs="Calibri"/>
          <w:i/>
          <w:color w:val="000000"/>
          <w:u w:color="000000"/>
        </w:rPr>
        <w:t>help</w:t>
      </w:r>
      <w:r w:rsidRPr="007F1C85">
        <w:rPr>
          <w:rFonts w:eastAsia="Calibri" w:cs="Calibri"/>
          <w:color w:val="000000"/>
          <w:u w:color="000000"/>
        </w:rPr>
        <w:t xml:space="preserve"> remove most pollen and intact spores. Removing </w:t>
      </w:r>
      <w:r>
        <w:rPr>
          <w:rFonts w:eastAsia="Calibri" w:cs="Calibri"/>
          <w:color w:val="000000"/>
          <w:u w:color="000000"/>
        </w:rPr>
        <w:t>smaller (ultra-fine &amp; nano-sized particles) particles</w:t>
      </w:r>
      <w:r w:rsidRPr="007F1C85">
        <w:rPr>
          <w:rFonts w:eastAsia="Calibri" w:cs="Calibri"/>
          <w:color w:val="000000"/>
          <w:u w:color="000000"/>
        </w:rPr>
        <w:t xml:space="preserve"> from the air/indoor environment, however, </w:t>
      </w:r>
      <w:r>
        <w:rPr>
          <w:rFonts w:eastAsia="Calibri" w:cs="Calibri"/>
          <w:color w:val="000000"/>
          <w:u w:color="000000"/>
        </w:rPr>
        <w:t>presents greater challenges and utilization of air filtration media not typically seen in residential settings</w:t>
      </w:r>
      <w:r w:rsidRPr="007F1C85">
        <w:rPr>
          <w:rFonts w:eastAsia="Calibri" w:cs="Calibri"/>
          <w:color w:val="000000"/>
          <w:u w:color="000000"/>
        </w:rPr>
        <w:t xml:space="preserve"> (</w:t>
      </w:r>
      <w:r>
        <w:rPr>
          <w:rFonts w:eastAsia="Calibri" w:cs="Calibri"/>
          <w:color w:val="000000"/>
          <w:u w:color="000000"/>
        </w:rPr>
        <w:t>7</w:t>
      </w:r>
      <w:r w:rsidRPr="007F1C85">
        <w:rPr>
          <w:rFonts w:eastAsia="Calibri" w:cs="Calibri"/>
          <w:color w:val="000000"/>
          <w:u w:color="000000"/>
        </w:rPr>
        <w:t xml:space="preserve">). </w:t>
      </w:r>
      <w:r>
        <w:rPr>
          <w:rFonts w:eastAsia="Calibri" w:cs="Calibri"/>
          <w:color w:val="000000"/>
          <w:u w:color="000000"/>
        </w:rPr>
        <w:t>Further, excluding certain clean room operations, many buildings lack laminar air flow conditions indoors (8) resulting in decreased removal of total particulates in the occupied spaces (</w:t>
      </w:r>
      <w:r w:rsidRPr="002E79B9">
        <w:rPr>
          <w:rFonts w:eastAsia="Calibri" w:cs="Calibri"/>
          <w:i/>
          <w:color w:val="000000"/>
          <w:u w:color="000000"/>
        </w:rPr>
        <w:t>example: office</w:t>
      </w:r>
      <w:r>
        <w:rPr>
          <w:rFonts w:eastAsia="Calibri" w:cs="Calibri"/>
          <w:color w:val="000000"/>
          <w:u w:color="000000"/>
        </w:rPr>
        <w:t xml:space="preserve">) as a significant number of particles succumb to gravity and their own </w:t>
      </w:r>
      <w:r w:rsidRPr="002E79B9">
        <w:rPr>
          <w:rFonts w:eastAsia="Calibri" w:cs="Calibri"/>
          <w:color w:val="000000"/>
          <w:u w:color="000000"/>
        </w:rPr>
        <w:t>settling velocities</w:t>
      </w:r>
      <w:r>
        <w:rPr>
          <w:rFonts w:eastAsia="Calibri" w:cs="Calibri"/>
          <w:color w:val="000000"/>
          <w:u w:color="000000"/>
        </w:rPr>
        <w:t xml:space="preserve"> </w:t>
      </w:r>
      <w:r w:rsidRPr="002E79B9">
        <w:rPr>
          <w:rFonts w:eastAsia="Calibri" w:cs="Calibri"/>
          <w:color w:val="000000"/>
          <w:u w:color="000000"/>
        </w:rPr>
        <w:t>(Stokes’s Law).</w:t>
      </w:r>
      <w:r>
        <w:rPr>
          <w:rFonts w:eastAsia="Calibri" w:cs="Calibri"/>
          <w:color w:val="000000"/>
          <w:u w:color="000000"/>
        </w:rPr>
        <w:t xml:space="preserve"> </w:t>
      </w:r>
      <w:r w:rsidRPr="007F1C85">
        <w:rPr>
          <w:rFonts w:eastAsia="Calibri" w:cs="Calibri"/>
          <w:color w:val="000000"/>
          <w:u w:color="000000"/>
        </w:rPr>
        <w:t>CIRS-WDB patients raise the bar on what constitutes remediation to a safe exposure level. We may learn that the higher standard of post-remediation safety and general cleanliness also helps patients with treatment-resistant asthma.</w:t>
      </w:r>
    </w:p>
    <w:p w14:paraId="5B3D2019" w14:textId="77777777" w:rsidR="002C487C" w:rsidRPr="007F1C85" w:rsidRDefault="002C487C" w:rsidP="00466750">
      <w:pPr>
        <w:jc w:val="both"/>
        <w:rPr>
          <w:rFonts w:ascii="Calibri" w:eastAsia="Calibri" w:hAnsi="Calibri" w:cs="Calibri"/>
          <w:color w:val="000000"/>
          <w:sz w:val="22"/>
          <w:szCs w:val="22"/>
          <w:u w:color="000000"/>
        </w:rPr>
      </w:pPr>
    </w:p>
    <w:p w14:paraId="53053A6B" w14:textId="6137214D" w:rsidR="002C487C" w:rsidRPr="007F1C85" w:rsidRDefault="00712C8B" w:rsidP="00466750">
      <w:pPr>
        <w:jc w:val="both"/>
        <w:rPr>
          <w:rFonts w:ascii="Calibri" w:eastAsia="Calibri" w:hAnsi="Calibri" w:cs="Calibri"/>
          <w:color w:val="000000"/>
          <w:sz w:val="22"/>
          <w:szCs w:val="22"/>
          <w:u w:color="000000"/>
        </w:rPr>
      </w:pPr>
      <w:r>
        <w:rPr>
          <w:rFonts w:eastAsia="Calibri" w:cs="Calibri"/>
          <w:color w:val="000000"/>
          <w:u w:color="000000"/>
        </w:rPr>
        <w:t>When moisture or unbound</w:t>
      </w:r>
      <w:r w:rsidR="002C487C" w:rsidRPr="007F1C85">
        <w:rPr>
          <w:rFonts w:eastAsia="Calibri" w:cs="Calibri"/>
          <w:color w:val="000000"/>
          <w:u w:color="000000"/>
        </w:rPr>
        <w:t xml:space="preserve"> water (available water = water activity </w:t>
      </w:r>
      <w:r w:rsidR="002C487C" w:rsidRPr="007F1C85">
        <w:rPr>
          <w:rFonts w:eastAsia="Calibri" w:cs="Calibri"/>
          <w:b/>
          <w:bCs/>
          <w:color w:val="000000"/>
          <w:u w:color="000000"/>
        </w:rPr>
        <w:t>(a</w:t>
      </w:r>
      <w:r w:rsidR="002C487C" w:rsidRPr="007F1C85">
        <w:rPr>
          <w:rFonts w:eastAsia="Calibri" w:cs="Calibri"/>
          <w:b/>
          <w:bCs/>
          <w:color w:val="000000"/>
          <w:u w:color="000000"/>
          <w:vertAlign w:val="subscript"/>
        </w:rPr>
        <w:t>w</w:t>
      </w:r>
      <w:r w:rsidR="002C487C" w:rsidRPr="007F1C85">
        <w:rPr>
          <w:rFonts w:eastAsia="Calibri" w:cs="Calibri"/>
          <w:b/>
          <w:bCs/>
          <w:color w:val="000000"/>
          <w:u w:color="000000"/>
        </w:rPr>
        <w:t>))</w:t>
      </w:r>
      <w:r w:rsidR="002C487C" w:rsidRPr="007F1C85">
        <w:rPr>
          <w:rFonts w:eastAsia="Calibri" w:cs="Calibri"/>
          <w:color w:val="000000"/>
          <w:u w:color="000000"/>
        </w:rPr>
        <w:t xml:space="preserve"> reaches a level high enough to support microbial growth, such growth usually occurs (</w:t>
      </w:r>
      <w:r w:rsidR="002C487C">
        <w:rPr>
          <w:rFonts w:eastAsia="Calibri" w:cs="Calibri"/>
          <w:color w:val="000000"/>
          <w:u w:color="000000"/>
        </w:rPr>
        <w:t>9</w:t>
      </w:r>
      <w:r w:rsidR="002C487C" w:rsidRPr="007F1C85">
        <w:rPr>
          <w:rFonts w:eastAsia="Calibri" w:cs="Calibri"/>
          <w:color w:val="000000"/>
          <w:u w:color="000000"/>
        </w:rPr>
        <w:t xml:space="preserve">). Roof leaks, plumbing leaks, floods and even elevated levels of moisture in the air can create these opportunistic environments. Ecological conditions indoors can be both independent and dependent of conditions outdoors. </w:t>
      </w:r>
    </w:p>
    <w:p w14:paraId="0A9F04D3" w14:textId="77777777" w:rsidR="002C487C" w:rsidRPr="007F1C85" w:rsidRDefault="002C487C" w:rsidP="00466750">
      <w:pPr>
        <w:jc w:val="both"/>
        <w:rPr>
          <w:rFonts w:ascii="Calibri" w:eastAsia="Calibri" w:hAnsi="Calibri" w:cs="Calibri"/>
          <w:color w:val="000000"/>
          <w:sz w:val="22"/>
          <w:szCs w:val="22"/>
          <w:u w:color="000000"/>
        </w:rPr>
      </w:pPr>
    </w:p>
    <w:p w14:paraId="1188BFFD" w14:textId="77777777"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rPr>
        <w:t>The science of water is complicated. We know that our ecology on earth means that many microb</w:t>
      </w:r>
      <w:r>
        <w:rPr>
          <w:rFonts w:eastAsia="Calibri" w:cs="Calibri"/>
          <w:color w:val="000000"/>
          <w:u w:color="000000"/>
        </w:rPr>
        <w:t>es</w:t>
      </w:r>
      <w:r w:rsidRPr="007F1C85">
        <w:rPr>
          <w:rFonts w:eastAsia="Calibri" w:cs="Calibri"/>
          <w:color w:val="000000"/>
          <w:u w:color="000000"/>
        </w:rPr>
        <w:t xml:space="preserve"> (fungi, bacteria, amoeba, for example) surround us; they are in abundance (</w:t>
      </w:r>
      <w:r>
        <w:rPr>
          <w:rFonts w:eastAsia="Calibri" w:cs="Calibri"/>
          <w:color w:val="000000"/>
          <w:u w:color="000000"/>
        </w:rPr>
        <w:t>10</w:t>
      </w:r>
      <w:r w:rsidRPr="007F1C85">
        <w:rPr>
          <w:rFonts w:eastAsia="Calibri" w:cs="Calibri"/>
          <w:color w:val="000000"/>
          <w:u w:color="000000"/>
        </w:rPr>
        <w:t>). They are also needed for survival on earth. The</w:t>
      </w:r>
      <w:r>
        <w:rPr>
          <w:rFonts w:eastAsia="Calibri" w:cs="Calibri"/>
          <w:color w:val="000000"/>
          <w:u w:color="000000"/>
        </w:rPr>
        <w:t>ir</w:t>
      </w:r>
      <w:r w:rsidRPr="007F1C85">
        <w:rPr>
          <w:rFonts w:eastAsia="Calibri" w:cs="Calibri"/>
          <w:color w:val="000000"/>
          <w:u w:color="000000"/>
        </w:rPr>
        <w:t xml:space="preserve"> abundance, combined with the correct amount of moisture (damp conditions) in our buildings, however, provides an environment conducive for microbial growth.</w:t>
      </w:r>
      <w:r>
        <w:rPr>
          <w:rFonts w:eastAsia="Calibri" w:cs="Calibri"/>
          <w:color w:val="000000"/>
          <w:u w:color="000000"/>
        </w:rPr>
        <w:t xml:space="preserve"> </w:t>
      </w:r>
      <w:r w:rsidRPr="007F1C85">
        <w:rPr>
          <w:rFonts w:eastAsia="Calibri" w:cs="Calibri"/>
          <w:color w:val="000000"/>
          <w:u w:color="000000"/>
        </w:rPr>
        <w:t>These damp conditions do</w:t>
      </w:r>
      <w:r>
        <w:rPr>
          <w:rFonts w:eastAsia="Calibri" w:cs="Calibri"/>
          <w:color w:val="000000"/>
          <w:u w:color="000000"/>
        </w:rPr>
        <w:t xml:space="preserve"> no</w:t>
      </w:r>
      <w:r w:rsidRPr="007F1C85">
        <w:rPr>
          <w:rFonts w:eastAsia="Calibri" w:cs="Calibri"/>
          <w:color w:val="000000"/>
          <w:u w:color="000000"/>
        </w:rPr>
        <w:t>t just amplify the potential of microbial growth, they can increase the presence of other vectors (i.e., insects, rodents, and other carriers of exposure concerns) (</w:t>
      </w:r>
      <w:r>
        <w:rPr>
          <w:rFonts w:eastAsia="Calibri" w:cs="Calibri"/>
          <w:color w:val="000000"/>
          <w:u w:color="000000"/>
        </w:rPr>
        <w:t>11</w:t>
      </w:r>
      <w:r w:rsidRPr="007F1C85">
        <w:rPr>
          <w:rFonts w:eastAsia="Calibri" w:cs="Calibri"/>
          <w:color w:val="000000"/>
          <w:u w:color="000000"/>
        </w:rPr>
        <w:t>).</w:t>
      </w:r>
    </w:p>
    <w:p w14:paraId="4639FC44" w14:textId="77777777" w:rsidR="002C487C" w:rsidRPr="007F1C85" w:rsidRDefault="002C487C" w:rsidP="00466750">
      <w:pPr>
        <w:jc w:val="both"/>
        <w:rPr>
          <w:rFonts w:ascii="Calibri" w:eastAsia="Calibri" w:hAnsi="Calibri" w:cs="Calibri"/>
          <w:color w:val="000000"/>
          <w:sz w:val="22"/>
          <w:szCs w:val="22"/>
          <w:u w:color="000000"/>
        </w:rPr>
      </w:pPr>
    </w:p>
    <w:p w14:paraId="398F8EC0" w14:textId="397FB075"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rPr>
        <w:t>We understand that most fungi, for example, can grow on wetted drywall, wooden framing, or composite cabinetry</w:t>
      </w:r>
      <w:r>
        <w:rPr>
          <w:rFonts w:eastAsia="Calibri" w:cs="Calibri"/>
          <w:color w:val="000000"/>
          <w:u w:color="000000"/>
        </w:rPr>
        <w:t xml:space="preserve"> (</w:t>
      </w:r>
      <w:r w:rsidRPr="00B2302C">
        <w:rPr>
          <w:rFonts w:eastAsia="Calibri" w:cs="Calibri"/>
          <w:i/>
          <w:color w:val="000000"/>
          <w:u w:color="000000"/>
        </w:rPr>
        <w:t>i.e. cellulose-based materials</w:t>
      </w:r>
      <w:r>
        <w:rPr>
          <w:rFonts w:eastAsia="Calibri" w:cs="Calibri"/>
          <w:color w:val="000000"/>
          <w:u w:color="000000"/>
        </w:rPr>
        <w:t>)</w:t>
      </w:r>
      <w:r w:rsidRPr="007F1C85">
        <w:rPr>
          <w:rFonts w:eastAsia="Calibri" w:cs="Calibri"/>
          <w:color w:val="000000"/>
          <w:u w:color="000000"/>
        </w:rPr>
        <w:t xml:space="preserve">. </w:t>
      </w:r>
      <w:r w:rsidR="00AE3991" w:rsidRPr="007F1C85">
        <w:rPr>
          <w:rFonts w:eastAsia="Calibri" w:cs="Calibri"/>
          <w:color w:val="000000"/>
          <w:u w:color="000000"/>
        </w:rPr>
        <w:t>Most of</w:t>
      </w:r>
      <w:r w:rsidRPr="007F1C85">
        <w:rPr>
          <w:rFonts w:eastAsia="Calibri" w:cs="Calibri"/>
          <w:color w:val="000000"/>
          <w:u w:color="000000"/>
        </w:rPr>
        <w:t xml:space="preserve"> these wetted materials would have been exposed to enough moisture to sustain an a</w:t>
      </w:r>
      <w:r w:rsidRPr="007F1C85">
        <w:rPr>
          <w:rFonts w:eastAsia="Calibri" w:cs="Calibri"/>
          <w:color w:val="000000"/>
          <w:u w:color="000000"/>
          <w:vertAlign w:val="subscript"/>
        </w:rPr>
        <w:t>w</w:t>
      </w:r>
      <w:r w:rsidRPr="007F1C85">
        <w:rPr>
          <w:rFonts w:eastAsia="Calibri" w:cs="Calibri"/>
          <w:color w:val="000000"/>
          <w:u w:color="000000"/>
        </w:rPr>
        <w:t xml:space="preserve"> long</w:t>
      </w:r>
      <w:r>
        <w:rPr>
          <w:rFonts w:eastAsia="Calibri" w:cs="Calibri"/>
          <w:color w:val="000000"/>
          <w:u w:color="000000"/>
        </w:rPr>
        <w:t xml:space="preserve"> enough to support growth (~&gt;.</w:t>
      </w:r>
      <w:r w:rsidR="00EC5D61">
        <w:rPr>
          <w:rFonts w:eastAsia="Calibri" w:cs="Calibri"/>
          <w:color w:val="000000"/>
          <w:u w:color="000000"/>
        </w:rPr>
        <w:t>68</w:t>
      </w:r>
      <w:r w:rsidRPr="007F1C85">
        <w:rPr>
          <w:rFonts w:eastAsia="Calibri" w:cs="Calibri"/>
          <w:color w:val="000000"/>
          <w:u w:color="000000"/>
        </w:rPr>
        <w:t xml:space="preserve"> a</w:t>
      </w:r>
      <w:r w:rsidRPr="007F1C85">
        <w:rPr>
          <w:rFonts w:eastAsia="Calibri" w:cs="Calibri"/>
          <w:color w:val="000000"/>
          <w:u w:color="000000"/>
          <w:vertAlign w:val="subscript"/>
        </w:rPr>
        <w:t>w</w:t>
      </w:r>
      <w:r w:rsidRPr="007F1C85">
        <w:rPr>
          <w:rFonts w:eastAsia="Calibri" w:cs="Calibri"/>
          <w:color w:val="000000"/>
          <w:u w:color="000000"/>
        </w:rPr>
        <w:t>). Such conditions are easily met when a building has been impacted/damaged by water. These conditions are not subject to linear dose-response ideas. The ecological environment in a building after a massive acute water event is trivially different from a much smaller but chronic event. Both events warrant concern.</w:t>
      </w:r>
    </w:p>
    <w:p w14:paraId="5364319E" w14:textId="77777777" w:rsidR="002C487C" w:rsidRPr="007F1C85" w:rsidRDefault="002C487C" w:rsidP="00466750">
      <w:pPr>
        <w:jc w:val="both"/>
        <w:rPr>
          <w:rFonts w:ascii="Calibri" w:eastAsia="Calibri" w:hAnsi="Calibri" w:cs="Calibri"/>
          <w:color w:val="000000"/>
          <w:sz w:val="22"/>
          <w:szCs w:val="22"/>
          <w:u w:color="000000"/>
        </w:rPr>
      </w:pPr>
    </w:p>
    <w:p w14:paraId="45D05A62" w14:textId="77777777"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rPr>
        <w:t>While it may make a difference acutely</w:t>
      </w:r>
      <w:r>
        <w:rPr>
          <w:rFonts w:eastAsia="Calibri" w:cs="Calibri"/>
          <w:color w:val="000000"/>
          <w:u w:color="000000"/>
        </w:rPr>
        <w:t>,</w:t>
      </w:r>
      <w:r w:rsidRPr="007F1C85">
        <w:rPr>
          <w:rFonts w:eastAsia="Calibri" w:cs="Calibri"/>
          <w:color w:val="000000"/>
          <w:u w:color="000000"/>
        </w:rPr>
        <w:t xml:space="preserve"> whether the home has a “small” water leak under the kitchen sink versus a whole-house flood, does that suggest that the kitchen sink leak should be of no concern and not addressed? No. Does a lesser quantity of water leaking under the kitchen sink guarantee that there will be less microbial growth? No. Any water intrusion or identified damp condition should put physician and patient on alert. In many of these situations, the consultation/guidance of a CIRS-knowledgeable Indoor Environmental Professional (IEP) is recommended.</w:t>
      </w:r>
    </w:p>
    <w:p w14:paraId="65282F3A" w14:textId="77777777" w:rsidR="002C487C" w:rsidRPr="007F1C85" w:rsidRDefault="002C487C" w:rsidP="00466750">
      <w:pPr>
        <w:jc w:val="both"/>
        <w:rPr>
          <w:rFonts w:ascii="Calibri" w:eastAsia="Calibri" w:hAnsi="Calibri" w:cs="Calibri"/>
          <w:color w:val="000000"/>
          <w:sz w:val="22"/>
          <w:szCs w:val="22"/>
          <w:u w:color="000000"/>
        </w:rPr>
      </w:pPr>
    </w:p>
    <w:p w14:paraId="51A8A4CD" w14:textId="2F686818"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rPr>
        <w:t>Water does</w:t>
      </w:r>
      <w:r>
        <w:rPr>
          <w:rFonts w:eastAsia="Calibri" w:cs="Calibri"/>
          <w:color w:val="000000"/>
          <w:u w:color="000000"/>
        </w:rPr>
        <w:t xml:space="preserve"> </w:t>
      </w:r>
      <w:r w:rsidRPr="007F1C85">
        <w:rPr>
          <w:rFonts w:eastAsia="Calibri" w:cs="Calibri"/>
          <w:color w:val="000000"/>
          <w:u w:color="000000"/>
        </w:rPr>
        <w:t>n</w:t>
      </w:r>
      <w:r>
        <w:rPr>
          <w:rFonts w:eastAsia="Calibri" w:cs="Calibri"/>
          <w:color w:val="000000"/>
          <w:u w:color="000000"/>
        </w:rPr>
        <w:t>o</w:t>
      </w:r>
      <w:r w:rsidRPr="007F1C85">
        <w:rPr>
          <w:rFonts w:eastAsia="Calibri" w:cs="Calibri"/>
          <w:color w:val="000000"/>
          <w:u w:color="000000"/>
        </w:rPr>
        <w:t xml:space="preserve">t just become a concern if it leaks into a home. Water (or moisture) is present everywhere, including crawlspaces and basements. </w:t>
      </w:r>
      <w:r w:rsidR="00AE3991" w:rsidRPr="007F1C85">
        <w:rPr>
          <w:rFonts w:eastAsia="Calibri" w:cs="Calibri"/>
          <w:color w:val="000000"/>
          <w:u w:color="000000"/>
        </w:rPr>
        <w:t>By</w:t>
      </w:r>
      <w:r w:rsidRPr="007F1C85">
        <w:rPr>
          <w:rFonts w:eastAsia="Calibri" w:cs="Calibri"/>
          <w:color w:val="000000"/>
          <w:u w:color="000000"/>
        </w:rPr>
        <w:t xml:space="preserve"> location, a crawlspace is almost always a part of the building, and thus a contaminated crawlspace can also define a home as</w:t>
      </w:r>
      <w:r>
        <w:rPr>
          <w:rFonts w:eastAsia="Calibri" w:cs="Calibri"/>
          <w:color w:val="000000"/>
          <w:u w:color="000000"/>
        </w:rPr>
        <w:t xml:space="preserve"> a WDB. Most crawlspaces are unfinished</w:t>
      </w:r>
      <w:r w:rsidRPr="007F1C85">
        <w:rPr>
          <w:rFonts w:eastAsia="Calibri" w:cs="Calibri"/>
          <w:color w:val="000000"/>
          <w:u w:color="000000"/>
        </w:rPr>
        <w:t>, meaning efforts have</w:t>
      </w:r>
      <w:r>
        <w:rPr>
          <w:rFonts w:eastAsia="Calibri" w:cs="Calibri"/>
          <w:color w:val="000000"/>
          <w:u w:color="000000"/>
        </w:rPr>
        <w:t xml:space="preserve"> </w:t>
      </w:r>
      <w:r w:rsidRPr="007F1C85">
        <w:rPr>
          <w:rFonts w:eastAsia="Calibri" w:cs="Calibri"/>
          <w:color w:val="000000"/>
          <w:u w:color="000000"/>
        </w:rPr>
        <w:t>n</w:t>
      </w:r>
      <w:r>
        <w:rPr>
          <w:rFonts w:eastAsia="Calibri" w:cs="Calibri"/>
          <w:color w:val="000000"/>
          <w:u w:color="000000"/>
        </w:rPr>
        <w:t>o</w:t>
      </w:r>
      <w:r w:rsidRPr="007F1C85">
        <w:rPr>
          <w:rFonts w:eastAsia="Calibri" w:cs="Calibri"/>
          <w:color w:val="000000"/>
          <w:u w:color="000000"/>
        </w:rPr>
        <w:t>t been made to seal, dry, and/or “</w:t>
      </w:r>
      <w:r w:rsidRPr="007F1C85">
        <w:rPr>
          <w:rFonts w:eastAsia="Calibri" w:cs="Calibri"/>
          <w:color w:val="000000"/>
          <w:u w:color="000000"/>
          <w:lang w:val="fr-FR"/>
        </w:rPr>
        <w:t>contain</w:t>
      </w:r>
      <w:r w:rsidRPr="007F1C85">
        <w:rPr>
          <w:rFonts w:eastAsia="Calibri" w:cs="Calibri"/>
          <w:color w:val="000000"/>
          <w:u w:color="000000"/>
        </w:rPr>
        <w:t xml:space="preserve">” it. </w:t>
      </w:r>
      <w:r>
        <w:rPr>
          <w:rFonts w:eastAsia="Calibri" w:cs="Calibri"/>
          <w:color w:val="000000"/>
          <w:u w:color="000000"/>
        </w:rPr>
        <w:t>Unfinished</w:t>
      </w:r>
      <w:r w:rsidRPr="007F1C85">
        <w:rPr>
          <w:rFonts w:eastAsia="Calibri" w:cs="Calibri"/>
          <w:color w:val="000000"/>
          <w:u w:color="000000"/>
        </w:rPr>
        <w:t xml:space="preserve"> crawlspaces often provide the ideal environment for microbial growth amplification. Due to various driving forces (pressure/temperature/airflow differentials) and available pathways (gaps/cracks/penetrations) between a crawlspace and occupied spaces above</w:t>
      </w:r>
      <w:r>
        <w:rPr>
          <w:rFonts w:eastAsia="Calibri" w:cs="Calibri"/>
          <w:color w:val="000000"/>
          <w:u w:color="000000"/>
        </w:rPr>
        <w:t xml:space="preserve"> (including soil gases below)</w:t>
      </w:r>
      <w:r w:rsidRPr="007F1C85">
        <w:rPr>
          <w:rFonts w:eastAsia="Calibri" w:cs="Calibri"/>
          <w:color w:val="000000"/>
          <w:u w:color="000000"/>
        </w:rPr>
        <w:t>, we know that crawlspace-originating contaminants invaria</w:t>
      </w:r>
      <w:r>
        <w:rPr>
          <w:rFonts w:eastAsia="Calibri" w:cs="Calibri"/>
          <w:color w:val="000000"/>
          <w:u w:color="000000"/>
        </w:rPr>
        <w:t>bly can make their way indoors</w:t>
      </w:r>
      <w:r w:rsidRPr="007F1C85">
        <w:rPr>
          <w:rFonts w:eastAsia="Calibri" w:cs="Calibri"/>
          <w:color w:val="000000"/>
          <w:u w:color="000000"/>
        </w:rPr>
        <w:t>.</w:t>
      </w:r>
    </w:p>
    <w:p w14:paraId="4DC7396B" w14:textId="77777777" w:rsidR="002C487C" w:rsidRPr="007F1C85" w:rsidRDefault="002C487C" w:rsidP="00466750">
      <w:pPr>
        <w:jc w:val="both"/>
        <w:rPr>
          <w:rFonts w:ascii="Calibri" w:eastAsia="Calibri" w:hAnsi="Calibri" w:cs="Calibri"/>
          <w:color w:val="000000"/>
          <w:sz w:val="22"/>
          <w:szCs w:val="22"/>
          <w:u w:color="000000"/>
        </w:rPr>
      </w:pPr>
    </w:p>
    <w:p w14:paraId="6EF29BC1" w14:textId="77777777" w:rsidR="002C487C" w:rsidRPr="00EA5149" w:rsidRDefault="002C487C" w:rsidP="00466750">
      <w:pPr>
        <w:jc w:val="both"/>
        <w:rPr>
          <w:rFonts w:eastAsia="Calibri" w:cs="Calibri"/>
          <w:color w:val="000000"/>
          <w:u w:color="000000"/>
        </w:rPr>
      </w:pPr>
      <w:r w:rsidRPr="007F1C85">
        <w:rPr>
          <w:rFonts w:eastAsia="Calibri" w:cs="Calibri"/>
          <w:color w:val="000000"/>
          <w:u w:color="000000"/>
        </w:rPr>
        <w:t>While dampness and water intrusions play a big role in identifying a WDB, even “musty odors” can offer evidence to occupants that suggests a</w:t>
      </w:r>
      <w:r>
        <w:rPr>
          <w:rFonts w:eastAsia="Calibri" w:cs="Calibri"/>
          <w:color w:val="000000"/>
          <w:u w:color="000000"/>
        </w:rPr>
        <w:t>n active (</w:t>
      </w:r>
      <w:r w:rsidRPr="0008668B">
        <w:rPr>
          <w:rFonts w:eastAsia="Calibri" w:cs="Calibri"/>
          <w:i/>
          <w:color w:val="000000"/>
          <w:u w:color="000000"/>
        </w:rPr>
        <w:t>growing/decomposing organic matter</w:t>
      </w:r>
      <w:r>
        <w:rPr>
          <w:rFonts w:eastAsia="Calibri" w:cs="Calibri"/>
          <w:color w:val="000000"/>
          <w:u w:color="000000"/>
        </w:rPr>
        <w:t>)</w:t>
      </w:r>
      <w:r w:rsidRPr="007F1C85">
        <w:rPr>
          <w:rFonts w:eastAsia="Calibri" w:cs="Calibri"/>
          <w:color w:val="000000"/>
          <w:u w:color="000000"/>
        </w:rPr>
        <w:t xml:space="preserve"> microbial source is present. One of the challenges with identifying a WDB is the fact that the building may not visually or historically provide evidence of being affected. A leak may have occurred years ago </w:t>
      </w:r>
      <w:r>
        <w:rPr>
          <w:rFonts w:eastAsia="Calibri" w:cs="Calibri"/>
          <w:color w:val="000000"/>
          <w:u w:color="000000"/>
        </w:rPr>
        <w:t xml:space="preserve">that resulted in microbial growth, but later </w:t>
      </w:r>
      <w:r w:rsidRPr="007F1C85">
        <w:rPr>
          <w:rFonts w:eastAsia="Calibri" w:cs="Calibri"/>
          <w:color w:val="000000"/>
          <w:u w:color="000000"/>
        </w:rPr>
        <w:t xml:space="preserve">dried up </w:t>
      </w:r>
      <w:r>
        <w:rPr>
          <w:rFonts w:eastAsia="Calibri" w:cs="Calibri"/>
          <w:color w:val="000000"/>
          <w:u w:color="000000"/>
        </w:rPr>
        <w:t>(</w:t>
      </w:r>
      <w:r w:rsidRPr="007F1C85">
        <w:rPr>
          <w:rFonts w:eastAsia="Calibri" w:cs="Calibri"/>
          <w:color w:val="000000"/>
          <w:u w:color="000000"/>
        </w:rPr>
        <w:t>naturally</w:t>
      </w:r>
      <w:r>
        <w:rPr>
          <w:rFonts w:eastAsia="Calibri" w:cs="Calibri"/>
          <w:color w:val="000000"/>
          <w:u w:color="000000"/>
        </w:rPr>
        <w:t>) leaving a significant portion of that growth in its place. Under the right conditions, this growth (</w:t>
      </w:r>
      <w:r w:rsidRPr="007F1C85">
        <w:rPr>
          <w:rFonts w:eastAsia="Calibri" w:cs="Calibri"/>
          <w:color w:val="000000"/>
          <w:u w:color="000000"/>
        </w:rPr>
        <w:t>source</w:t>
      </w:r>
      <w:r>
        <w:rPr>
          <w:rFonts w:eastAsia="Calibri" w:cs="Calibri"/>
          <w:color w:val="000000"/>
          <w:u w:color="000000"/>
        </w:rPr>
        <w:t>)</w:t>
      </w:r>
      <w:r w:rsidRPr="007F1C85">
        <w:rPr>
          <w:rFonts w:eastAsia="Calibri" w:cs="Calibri"/>
          <w:color w:val="000000"/>
          <w:u w:color="000000"/>
        </w:rPr>
        <w:t xml:space="preserve"> of </w:t>
      </w:r>
      <w:r>
        <w:rPr>
          <w:rFonts w:eastAsia="Calibri" w:cs="Calibri"/>
          <w:color w:val="000000"/>
          <w:u w:color="000000"/>
        </w:rPr>
        <w:t>microbial growth</w:t>
      </w:r>
      <w:r w:rsidRPr="007F1C85">
        <w:rPr>
          <w:rFonts w:eastAsia="Calibri" w:cs="Calibri"/>
          <w:color w:val="000000"/>
          <w:u w:color="000000"/>
        </w:rPr>
        <w:t xml:space="preserve"> </w:t>
      </w:r>
      <w:r>
        <w:rPr>
          <w:rFonts w:eastAsia="Calibri" w:cs="Calibri"/>
          <w:color w:val="000000"/>
          <w:u w:color="000000"/>
        </w:rPr>
        <w:t xml:space="preserve">may communicate into the occupied spaces of the home creating exposure concerns for </w:t>
      </w:r>
      <w:r w:rsidRPr="007F1C85">
        <w:rPr>
          <w:rFonts w:eastAsia="Calibri" w:cs="Calibri"/>
          <w:color w:val="000000"/>
          <w:u w:color="000000"/>
        </w:rPr>
        <w:t>a CIRS patient</w:t>
      </w:r>
      <w:r>
        <w:rPr>
          <w:rFonts w:eastAsia="Calibri" w:cs="Calibri"/>
          <w:color w:val="000000"/>
          <w:u w:color="000000"/>
        </w:rPr>
        <w:t xml:space="preserve">, </w:t>
      </w:r>
      <w:r w:rsidRPr="007F1C85">
        <w:rPr>
          <w:rFonts w:eastAsia="Calibri" w:cs="Calibri"/>
          <w:color w:val="000000"/>
          <w:u w:color="000000"/>
        </w:rPr>
        <w:t xml:space="preserve">yet the building may appear “perfect” or otherwise non-WDB. </w:t>
      </w:r>
    </w:p>
    <w:p w14:paraId="6C4E2BCE" w14:textId="77777777" w:rsidR="002C487C" w:rsidRPr="007F1C85" w:rsidRDefault="002C487C" w:rsidP="00466750">
      <w:pPr>
        <w:jc w:val="both"/>
        <w:rPr>
          <w:rFonts w:ascii="Calibri" w:eastAsia="Calibri" w:hAnsi="Calibri" w:cs="Calibri"/>
          <w:color w:val="000000"/>
          <w:sz w:val="22"/>
          <w:szCs w:val="22"/>
          <w:u w:color="000000"/>
        </w:rPr>
      </w:pPr>
    </w:p>
    <w:p w14:paraId="0DF35EDF" w14:textId="77777777"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rPr>
        <w:t xml:space="preserve">This leads to the importance of not making assumptions, positive or negative, towards defining a WDB. Today, the Surviving Mold community has painstakingly built a small network of vetted IEPs that understand the built environment, the related building sciences, the physiology of microbial growth, and the comprehensive approach needed when working with CIRS patients. </w:t>
      </w:r>
    </w:p>
    <w:p w14:paraId="4C8B4D2E" w14:textId="77777777" w:rsidR="002C487C" w:rsidRPr="007F1C85" w:rsidRDefault="002C487C" w:rsidP="00466750">
      <w:pPr>
        <w:jc w:val="both"/>
        <w:rPr>
          <w:rFonts w:ascii="Calibri" w:eastAsia="Calibri" w:hAnsi="Calibri" w:cs="Calibri"/>
          <w:color w:val="000000"/>
          <w:sz w:val="22"/>
          <w:szCs w:val="22"/>
          <w:u w:color="000000"/>
        </w:rPr>
      </w:pPr>
    </w:p>
    <w:p w14:paraId="171CB215" w14:textId="591D8848" w:rsidR="002C487C" w:rsidRPr="007F1C85" w:rsidRDefault="002C487C" w:rsidP="00466750">
      <w:pPr>
        <w:jc w:val="both"/>
        <w:rPr>
          <w:rFonts w:ascii="Calibri" w:eastAsia="Calibri" w:hAnsi="Calibri" w:cs="Calibri"/>
          <w:color w:val="000000"/>
          <w:sz w:val="22"/>
          <w:szCs w:val="22"/>
          <w:u w:color="000000"/>
        </w:rPr>
      </w:pPr>
      <w:r w:rsidRPr="007F1C85">
        <w:rPr>
          <w:rFonts w:eastAsia="Calibri" w:cs="Calibri"/>
          <w:color w:val="000000"/>
          <w:u w:color="000000"/>
        </w:rPr>
        <w:t xml:space="preserve">Unfortunately, the supply of such vetted IEPs </w:t>
      </w:r>
      <w:r>
        <w:rPr>
          <w:rFonts w:eastAsia="Calibri" w:cs="Calibri"/>
          <w:color w:val="000000"/>
          <w:u w:color="000000"/>
        </w:rPr>
        <w:t>is</w:t>
      </w:r>
      <w:r w:rsidRPr="007F1C85">
        <w:rPr>
          <w:rFonts w:eastAsia="Calibri" w:cs="Calibri"/>
          <w:color w:val="000000"/>
          <w:u w:color="000000"/>
        </w:rPr>
        <w:t xml:space="preserve"> low and </w:t>
      </w:r>
      <w:r>
        <w:rPr>
          <w:rFonts w:eastAsia="Calibri" w:cs="Calibri"/>
          <w:color w:val="000000"/>
          <w:u w:color="000000"/>
        </w:rPr>
        <w:t xml:space="preserve">they are </w:t>
      </w:r>
      <w:r w:rsidRPr="007F1C85">
        <w:rPr>
          <w:rFonts w:eastAsia="Calibri" w:cs="Calibri"/>
          <w:color w:val="000000"/>
          <w:u w:color="000000"/>
        </w:rPr>
        <w:t>in high demand. Most local “mold inspectors” have shown potential</w:t>
      </w:r>
      <w:r>
        <w:rPr>
          <w:rFonts w:eastAsia="Calibri" w:cs="Calibri"/>
          <w:color w:val="000000"/>
          <w:u w:color="000000"/>
        </w:rPr>
        <w:t>,</w:t>
      </w:r>
      <w:r w:rsidRPr="007F1C85">
        <w:rPr>
          <w:rFonts w:eastAsia="Calibri" w:cs="Calibri"/>
          <w:color w:val="000000"/>
          <w:u w:color="000000"/>
        </w:rPr>
        <w:t xml:space="preserve"> but lack (in fairness) a much more needed understanding of CIRS</w:t>
      </w:r>
      <w:r>
        <w:rPr>
          <w:rFonts w:eastAsia="Calibri" w:cs="Calibri"/>
          <w:color w:val="000000"/>
          <w:u w:color="000000"/>
        </w:rPr>
        <w:t>, and the differences between the traditional (“industry-standard”) and inflammatory sciences and</w:t>
      </w:r>
      <w:r w:rsidRPr="007F1C85">
        <w:rPr>
          <w:rFonts w:eastAsia="Calibri" w:cs="Calibri"/>
          <w:color w:val="000000"/>
          <w:u w:color="000000"/>
        </w:rPr>
        <w:t xml:space="preserve"> methodologies used to identify a WDB.</w:t>
      </w:r>
    </w:p>
    <w:p w14:paraId="42E89756" w14:textId="77777777" w:rsidR="002C487C" w:rsidRPr="007F1C85" w:rsidRDefault="002C487C" w:rsidP="00466750">
      <w:pPr>
        <w:jc w:val="both"/>
        <w:rPr>
          <w:rFonts w:ascii="Calibri" w:eastAsia="Calibri" w:hAnsi="Calibri" w:cs="Calibri"/>
          <w:color w:val="000000"/>
          <w:sz w:val="22"/>
          <w:szCs w:val="22"/>
          <w:u w:color="000000"/>
        </w:rPr>
      </w:pPr>
    </w:p>
    <w:p w14:paraId="7002918F" w14:textId="77777777" w:rsidR="002C487C" w:rsidRDefault="002C487C" w:rsidP="00466750">
      <w:pPr>
        <w:jc w:val="both"/>
        <w:rPr>
          <w:rFonts w:eastAsia="Calibri" w:cs="Calibri"/>
          <w:color w:val="000000"/>
          <w:u w:color="000000"/>
        </w:rPr>
      </w:pPr>
      <w:r w:rsidRPr="007F1C85">
        <w:rPr>
          <w:rFonts w:eastAsia="Calibri" w:cs="Calibri"/>
          <w:color w:val="000000"/>
          <w:u w:color="000000"/>
        </w:rPr>
        <w:t>While various mold analysis methods are available to help IEPs, patients, and physicians identify a “mold issue” or even location of contaminant sources, extreme caution is advised when interpreting the results. Here are a few considerations:</w:t>
      </w:r>
    </w:p>
    <w:p w14:paraId="2D971A8E" w14:textId="77777777" w:rsidR="002C487C" w:rsidRPr="007F1C85" w:rsidRDefault="002C487C" w:rsidP="00466750">
      <w:pPr>
        <w:jc w:val="both"/>
        <w:rPr>
          <w:rFonts w:ascii="Calibri" w:eastAsia="Calibri" w:hAnsi="Calibri" w:cs="Calibri"/>
          <w:color w:val="000000"/>
          <w:sz w:val="22"/>
          <w:szCs w:val="22"/>
          <w:u w:color="000000"/>
        </w:rPr>
      </w:pPr>
    </w:p>
    <w:p w14:paraId="1B0577E4" w14:textId="77777777" w:rsidR="00712C8B" w:rsidRDefault="002C487C" w:rsidP="00466750">
      <w:pPr>
        <w:numPr>
          <w:ilvl w:val="0"/>
          <w:numId w:val="6"/>
        </w:numPr>
        <w:jc w:val="both"/>
        <w:rPr>
          <w:rFonts w:eastAsia="Calibri" w:cs="Calibri"/>
          <w:color w:val="000000"/>
          <w:u w:color="000000"/>
        </w:rPr>
      </w:pPr>
      <w:r w:rsidRPr="007F1C85">
        <w:rPr>
          <w:rFonts w:eastAsia="Calibri" w:cs="Calibri"/>
          <w:color w:val="000000"/>
          <w:u w:color="000000"/>
        </w:rPr>
        <w:t xml:space="preserve">Settle plates (Petri dishes) only identify viable spores that are supported by the agar on </w:t>
      </w:r>
      <w:r w:rsidR="00FA4498">
        <w:rPr>
          <w:rFonts w:eastAsia="Calibri" w:cs="Calibri"/>
          <w:color w:val="000000"/>
          <w:u w:color="000000"/>
        </w:rPr>
        <w:t>the plate. Non-viable spores, non-</w:t>
      </w:r>
      <w:r w:rsidRPr="007F1C85">
        <w:rPr>
          <w:rFonts w:eastAsia="Calibri" w:cs="Calibri"/>
          <w:color w:val="000000"/>
          <w:u w:color="000000"/>
        </w:rPr>
        <w:t xml:space="preserve">ideal growing conditions, and mold fragments (representing a majority of the exposure concerns) are NOT identified using this method of collection. </w:t>
      </w:r>
    </w:p>
    <w:p w14:paraId="18E279F4" w14:textId="25C5BBFA" w:rsidR="002C487C" w:rsidRPr="007F1C85" w:rsidRDefault="002C487C" w:rsidP="00466750">
      <w:pPr>
        <w:numPr>
          <w:ilvl w:val="0"/>
          <w:numId w:val="6"/>
        </w:numPr>
        <w:jc w:val="both"/>
        <w:rPr>
          <w:rFonts w:eastAsia="Calibri" w:cs="Calibri"/>
          <w:color w:val="000000"/>
          <w:u w:color="000000"/>
        </w:rPr>
      </w:pPr>
      <w:r w:rsidRPr="007F1C85">
        <w:rPr>
          <w:rFonts w:eastAsia="Calibri" w:cs="Calibri"/>
          <w:color w:val="000000"/>
          <w:u w:color="000000"/>
        </w:rPr>
        <w:t xml:space="preserve">Spore trap sampling can </w:t>
      </w:r>
      <w:r w:rsidR="00712C8B">
        <w:rPr>
          <w:rFonts w:eastAsia="Calibri" w:cs="Calibri"/>
          <w:color w:val="000000"/>
          <w:u w:color="000000"/>
        </w:rPr>
        <w:t xml:space="preserve">detect and </w:t>
      </w:r>
      <w:r w:rsidRPr="007F1C85">
        <w:rPr>
          <w:rFonts w:eastAsia="Calibri" w:cs="Calibri"/>
          <w:color w:val="000000"/>
          <w:u w:color="000000"/>
        </w:rPr>
        <w:t>identify both viable and non-viable spores but cannot identify certain smaller, fungal species, nor can they identify mold fragments</w:t>
      </w:r>
      <w:r w:rsidR="00712C8B">
        <w:rPr>
          <w:rFonts w:eastAsia="Calibri" w:cs="Calibri"/>
          <w:color w:val="000000"/>
          <w:u w:color="000000"/>
        </w:rPr>
        <w:t xml:space="preserve"> especially those beyond the resolution limits offered by light microscopy</w:t>
      </w:r>
      <w:r w:rsidRPr="007F1C85">
        <w:rPr>
          <w:rFonts w:eastAsia="Calibri" w:cs="Calibri"/>
          <w:color w:val="000000"/>
          <w:u w:color="000000"/>
        </w:rPr>
        <w:t xml:space="preserve">. Spore trap sampling typically represents a very small sample size and inadequate representation of exposure when compared to QPCR analysis. Spore trapping is limited in time and location; never identifies Wallemia; </w:t>
      </w:r>
      <w:r w:rsidR="00712C8B">
        <w:rPr>
          <w:rFonts w:eastAsia="Calibri" w:cs="Calibri"/>
          <w:color w:val="000000"/>
          <w:u w:color="000000"/>
        </w:rPr>
        <w:t>can miss less aerodynamic</w:t>
      </w:r>
      <w:r w:rsidRPr="007F1C85">
        <w:rPr>
          <w:rFonts w:eastAsia="Calibri" w:cs="Calibri"/>
          <w:color w:val="000000"/>
          <w:u w:color="000000"/>
        </w:rPr>
        <w:t xml:space="preserve"> Stachybotrys; never identifies the &gt; 99.8% of indoor particulates that cause inflammation. Any effort to use spore-trapping to tell a CIRS</w:t>
      </w:r>
      <w:r>
        <w:rPr>
          <w:rFonts w:eastAsia="Calibri" w:cs="Calibri"/>
          <w:color w:val="000000"/>
          <w:u w:color="000000"/>
        </w:rPr>
        <w:t xml:space="preserve"> </w:t>
      </w:r>
      <w:r w:rsidRPr="007F1C85">
        <w:rPr>
          <w:rFonts w:eastAsia="Calibri" w:cs="Calibri"/>
          <w:color w:val="000000"/>
          <w:u w:color="000000"/>
        </w:rPr>
        <w:t>patient that all field tests are normal and (thus) the “home is safe” is incorrect.</w:t>
      </w:r>
    </w:p>
    <w:p w14:paraId="436D3A3E" w14:textId="77777777" w:rsidR="002C487C" w:rsidRPr="007F1C85" w:rsidRDefault="002C487C" w:rsidP="00466750">
      <w:pPr>
        <w:numPr>
          <w:ilvl w:val="0"/>
          <w:numId w:val="6"/>
        </w:numPr>
        <w:jc w:val="both"/>
        <w:rPr>
          <w:rFonts w:eastAsia="Calibri" w:cs="Calibri"/>
          <w:color w:val="000000"/>
          <w:u w:color="000000"/>
        </w:rPr>
      </w:pPr>
      <w:r w:rsidRPr="007F1C85">
        <w:rPr>
          <w:rFonts w:eastAsia="Calibri" w:cs="Calibri"/>
          <w:color w:val="000000"/>
          <w:u w:color="000000"/>
        </w:rPr>
        <w:t>Tape lift or swab sampling techniques can be used to help identify mold or unknown substance</w:t>
      </w:r>
    </w:p>
    <w:p w14:paraId="506023A1" w14:textId="45131972" w:rsidR="002C487C" w:rsidRPr="007F1C85" w:rsidRDefault="002C487C" w:rsidP="00466750">
      <w:pPr>
        <w:numPr>
          <w:ilvl w:val="0"/>
          <w:numId w:val="6"/>
        </w:numPr>
        <w:jc w:val="both"/>
        <w:rPr>
          <w:rFonts w:eastAsia="Calibri" w:cs="Calibri"/>
          <w:color w:val="000000"/>
          <w:u w:color="000000"/>
        </w:rPr>
      </w:pPr>
      <w:r w:rsidRPr="007F1C85">
        <w:rPr>
          <w:rFonts w:eastAsia="Calibri" w:cs="Calibri"/>
          <w:color w:val="000000"/>
          <w:u w:color="000000"/>
        </w:rPr>
        <w:t>None of the methods above replace the ONLY current metric (</w:t>
      </w:r>
      <w:r w:rsidR="0048618B">
        <w:rPr>
          <w:rFonts w:eastAsia="Calibri" w:cs="Calibri"/>
          <w:color w:val="000000"/>
          <w:u w:color="000000"/>
        </w:rPr>
        <w:t>ERMI/HERTSMI-2 performed by QPCR on settled dust</w:t>
      </w:r>
      <w:r w:rsidRPr="007F1C85">
        <w:rPr>
          <w:rFonts w:eastAsia="Calibri" w:cs="Calibri"/>
          <w:color w:val="000000"/>
          <w:u w:color="000000"/>
        </w:rPr>
        <w:t xml:space="preserve">) used in the Shoemaker </w:t>
      </w:r>
      <w:r w:rsidR="008D1454">
        <w:rPr>
          <w:rFonts w:eastAsia="Calibri" w:cs="Calibri"/>
          <w:color w:val="000000"/>
          <w:u w:color="000000"/>
        </w:rPr>
        <w:t xml:space="preserve">Treatment </w:t>
      </w:r>
      <w:r w:rsidRPr="007F1C85">
        <w:rPr>
          <w:rFonts w:eastAsia="Calibri" w:cs="Calibri"/>
          <w:color w:val="000000"/>
          <w:u w:color="000000"/>
        </w:rPr>
        <w:t xml:space="preserve">Protocol to assess the average exposure in a home for someone with CIRS-WDB. </w:t>
      </w:r>
    </w:p>
    <w:p w14:paraId="1343BFCB" w14:textId="77777777" w:rsidR="002C487C" w:rsidRPr="007F1C85" w:rsidRDefault="002C487C" w:rsidP="00466750">
      <w:pPr>
        <w:jc w:val="both"/>
        <w:rPr>
          <w:rFonts w:ascii="Calibri" w:eastAsia="Calibri" w:hAnsi="Calibri" w:cs="Calibri"/>
          <w:color w:val="000000"/>
          <w:sz w:val="22"/>
          <w:szCs w:val="22"/>
          <w:u w:color="000000"/>
        </w:rPr>
      </w:pPr>
    </w:p>
    <w:p w14:paraId="29217C3B" w14:textId="33B37BA1" w:rsidR="002C487C" w:rsidRPr="007B5C52" w:rsidRDefault="008D1454" w:rsidP="00466750">
      <w:pPr>
        <w:shd w:val="clear" w:color="auto" w:fill="FFFFFF"/>
        <w:jc w:val="both"/>
        <w:rPr>
          <w:rFonts w:eastAsia="Calibri" w:cs="Calibri"/>
          <w:color w:val="000000"/>
          <w:u w:color="000000"/>
        </w:rPr>
      </w:pPr>
      <w:r>
        <w:rPr>
          <w:rFonts w:eastAsia="Calibri" w:cs="Calibri"/>
          <w:color w:val="000000"/>
          <w:u w:color="000000"/>
        </w:rPr>
        <w:t xml:space="preserve">For </w:t>
      </w:r>
      <w:r w:rsidR="002C487C" w:rsidRPr="007F1C85">
        <w:rPr>
          <w:rFonts w:eastAsia="Calibri" w:cs="Calibri"/>
          <w:color w:val="000000"/>
          <w:u w:color="000000"/>
        </w:rPr>
        <w:t>physicians, r</w:t>
      </w:r>
      <w:r>
        <w:rPr>
          <w:rFonts w:eastAsia="Calibri" w:cs="Calibri"/>
          <w:color w:val="000000"/>
          <w:u w:color="000000"/>
        </w:rPr>
        <w:t>epeated exposure</w:t>
      </w:r>
      <w:r w:rsidR="002C487C" w:rsidRPr="007F1C85">
        <w:rPr>
          <w:rFonts w:eastAsia="Calibri" w:cs="Calibri"/>
          <w:color w:val="000000"/>
          <w:u w:color="000000"/>
        </w:rPr>
        <w:t xml:space="preserve"> to a WDB is evidenced by blood markers and symptoms. At this point, some physicians have already suggested that the patient collect their own ERMI/HERTSMI-2 dust sample to validate exposure. A potential issue with that suggestion is when the dust sample results come back showing a “safe” building. This data would conflict</w:t>
      </w:r>
      <w:r w:rsidR="00685186">
        <w:rPr>
          <w:rFonts w:eastAsia="Calibri" w:cs="Calibri"/>
          <w:color w:val="000000"/>
          <w:u w:color="000000"/>
        </w:rPr>
        <w:t xml:space="preserve"> with</w:t>
      </w:r>
      <w:r w:rsidR="002C487C" w:rsidRPr="007F1C85">
        <w:rPr>
          <w:rFonts w:eastAsia="Calibri" w:cs="Calibri"/>
          <w:color w:val="000000"/>
          <w:u w:color="000000"/>
        </w:rPr>
        <w:t xml:space="preserve"> the patient’s blood markers and/or symptoms. The complexities of dust sample collection, however, may have resulted in a false-negative (or fa</w:t>
      </w:r>
      <w:r w:rsidR="002C487C">
        <w:rPr>
          <w:rFonts w:eastAsia="Calibri" w:cs="Calibri"/>
          <w:color w:val="000000"/>
          <w:u w:color="000000"/>
        </w:rPr>
        <w:t>lse-positive) result. It is</w:t>
      </w:r>
      <w:r w:rsidR="002C487C" w:rsidRPr="007F1C85">
        <w:rPr>
          <w:rFonts w:eastAsia="Calibri" w:cs="Calibri"/>
          <w:color w:val="000000"/>
          <w:u w:color="000000"/>
        </w:rPr>
        <w:t xml:space="preserve"> possible that another contaminant source/s exist in the home that the ERMI/HERTSMI-2 method is unable to detect, especially bacterial endotoxin and</w:t>
      </w:r>
      <w:r w:rsidR="00685186">
        <w:rPr>
          <w:rFonts w:eastAsia="Calibri" w:cs="Calibri"/>
          <w:color w:val="000000"/>
          <w:u w:color="000000"/>
        </w:rPr>
        <w:t>/or</w:t>
      </w:r>
      <w:r w:rsidR="002C487C" w:rsidRPr="007F1C85">
        <w:rPr>
          <w:rFonts w:eastAsia="Calibri" w:cs="Calibri"/>
          <w:color w:val="000000"/>
          <w:u w:color="000000"/>
        </w:rPr>
        <w:t xml:space="preserve"> actinomycetes. </w:t>
      </w:r>
      <w:r w:rsidR="002C487C">
        <w:rPr>
          <w:rFonts w:eastAsia="Calibri" w:cs="Calibri"/>
          <w:color w:val="000000"/>
          <w:u w:color="000000"/>
        </w:rPr>
        <w:t xml:space="preserve">Further, there are concerns regarding where the sample was collected (i.e. near past/current water damage, near </w:t>
      </w:r>
      <w:r>
        <w:rPr>
          <w:rFonts w:eastAsia="Calibri" w:cs="Calibri"/>
          <w:color w:val="000000"/>
          <w:u w:color="000000"/>
        </w:rPr>
        <w:t>windows/plumbing, basement, and more</w:t>
      </w:r>
      <w:r w:rsidR="002C487C">
        <w:rPr>
          <w:rFonts w:eastAsia="Calibri" w:cs="Calibri"/>
          <w:color w:val="000000"/>
          <w:u w:color="000000"/>
        </w:rPr>
        <w:t>).</w:t>
      </w:r>
      <w:r>
        <w:rPr>
          <w:rFonts w:eastAsia="Calibri" w:cs="Calibri"/>
          <w:color w:val="000000"/>
          <w:u w:color="000000"/>
        </w:rPr>
        <w:t xml:space="preserve"> These are just a few reasons IEPs</w:t>
      </w:r>
      <w:r w:rsidR="002C487C">
        <w:rPr>
          <w:rFonts w:eastAsia="Calibri" w:cs="Calibri"/>
          <w:color w:val="000000"/>
          <w:u w:color="000000"/>
        </w:rPr>
        <w:t xml:space="preserve"> </w:t>
      </w:r>
      <w:r>
        <w:rPr>
          <w:rFonts w:eastAsia="Calibri" w:cs="Calibri"/>
          <w:color w:val="000000"/>
          <w:u w:color="000000"/>
        </w:rPr>
        <w:t>suggest that the patient consider</w:t>
      </w:r>
      <w:r w:rsidR="002C487C" w:rsidRPr="007F1C85">
        <w:rPr>
          <w:rFonts w:eastAsia="Calibri" w:cs="Calibri"/>
          <w:color w:val="000000"/>
          <w:u w:color="000000"/>
        </w:rPr>
        <w:t xml:space="preserve"> </w:t>
      </w:r>
      <w:r>
        <w:rPr>
          <w:rFonts w:eastAsia="Calibri" w:cs="Calibri"/>
          <w:color w:val="000000"/>
          <w:u w:color="000000"/>
        </w:rPr>
        <w:t>consultation with</w:t>
      </w:r>
      <w:r w:rsidR="002C487C" w:rsidRPr="007F1C85">
        <w:rPr>
          <w:rFonts w:eastAsia="Calibri" w:cs="Calibri"/>
          <w:color w:val="000000"/>
          <w:u w:color="000000"/>
        </w:rPr>
        <w:t xml:space="preserve"> a vetted IEP.  Involving this IEP would help reduce the chance of sample error, and even be able to help identify other issues or contaminant sources that are affecting the patient. </w:t>
      </w:r>
    </w:p>
    <w:p w14:paraId="04A7A0BB" w14:textId="77777777" w:rsidR="002C487C" w:rsidRPr="007F1C85" w:rsidRDefault="002C487C" w:rsidP="00466750">
      <w:pPr>
        <w:shd w:val="clear" w:color="auto" w:fill="FFFFFF"/>
        <w:jc w:val="both"/>
        <w:rPr>
          <w:rFonts w:ascii="Calibri" w:eastAsia="Calibri" w:hAnsi="Calibri" w:cs="Calibri"/>
          <w:color w:val="000000"/>
          <w:sz w:val="22"/>
          <w:szCs w:val="22"/>
          <w:u w:color="000000"/>
        </w:rPr>
      </w:pPr>
    </w:p>
    <w:p w14:paraId="2DCDC960" w14:textId="05A65FF8" w:rsidR="002C487C" w:rsidRPr="002D3A6E" w:rsidRDefault="002C487C" w:rsidP="00466750">
      <w:pPr>
        <w:shd w:val="clear" w:color="auto" w:fill="FFFFFF"/>
        <w:jc w:val="both"/>
        <w:rPr>
          <w:rFonts w:ascii="Calibri" w:eastAsia="Calibri" w:hAnsi="Calibri" w:cs="Calibri"/>
          <w:sz w:val="22"/>
          <w:szCs w:val="22"/>
        </w:rPr>
      </w:pPr>
      <w:r w:rsidRPr="007F1C85">
        <w:rPr>
          <w:rFonts w:eastAsia="Calibri" w:cs="Calibri"/>
          <w:color w:val="000000"/>
          <w:u w:color="000000"/>
        </w:rPr>
        <w:t xml:space="preserve">In the case of an </w:t>
      </w:r>
      <w:r w:rsidRPr="007F1C85">
        <w:rPr>
          <w:rFonts w:eastAsia="Calibri" w:cs="Calibri"/>
          <w:b/>
          <w:bCs/>
          <w:color w:val="000000"/>
          <w:u w:color="000000"/>
        </w:rPr>
        <w:t>incoming/new patient</w:t>
      </w:r>
      <w:r w:rsidRPr="007F1C85">
        <w:rPr>
          <w:rFonts w:eastAsia="Calibri" w:cs="Calibri"/>
          <w:color w:val="000000"/>
          <w:u w:color="000000"/>
        </w:rPr>
        <w:t>, many physicians will have them initially collect their own ERMI/HERTSMI-2 dust sample. Typically, one sample is collected per floor of the home/building to provide an average exposure assessment (score).  The results of this sample may show evidence that a WDB exists, and t</w:t>
      </w:r>
      <w:r w:rsidR="008D1454">
        <w:rPr>
          <w:rFonts w:eastAsia="Calibri" w:cs="Calibri"/>
          <w:color w:val="000000"/>
          <w:u w:color="000000"/>
        </w:rPr>
        <w:t>hat exposures</w:t>
      </w:r>
      <w:r w:rsidRPr="007F1C85">
        <w:rPr>
          <w:rFonts w:eastAsia="Calibri" w:cs="Calibri"/>
          <w:color w:val="000000"/>
          <w:u w:color="000000"/>
        </w:rPr>
        <w:t xml:space="preserve"> need to be further a</w:t>
      </w:r>
      <w:r w:rsidR="00586CD0">
        <w:rPr>
          <w:rFonts w:eastAsia="Calibri" w:cs="Calibri"/>
          <w:color w:val="000000"/>
          <w:u w:color="000000"/>
        </w:rPr>
        <w:t xml:space="preserve">ssessed. </w:t>
      </w:r>
      <w:r w:rsidRPr="007F1C85">
        <w:rPr>
          <w:rFonts w:eastAsia="Calibri" w:cs="Calibri"/>
          <w:color w:val="000000"/>
          <w:u w:color="000000"/>
        </w:rPr>
        <w:t xml:space="preserve">Two </w:t>
      </w:r>
      <w:r w:rsidRPr="002D3A6E">
        <w:rPr>
          <w:rFonts w:eastAsia="Calibri" w:cs="Calibri"/>
        </w:rPr>
        <w:t>laboratories currently provide kits that the client can use and follow the instructions to collect this initial sample:</w:t>
      </w:r>
    </w:p>
    <w:p w14:paraId="4AB33E7E" w14:textId="77777777" w:rsidR="002C487C" w:rsidRPr="002D3A6E" w:rsidRDefault="002C487C" w:rsidP="00466750">
      <w:pPr>
        <w:numPr>
          <w:ilvl w:val="0"/>
          <w:numId w:val="8"/>
        </w:numPr>
        <w:shd w:val="clear" w:color="auto" w:fill="FFFFFF"/>
        <w:jc w:val="both"/>
        <w:rPr>
          <w:rFonts w:eastAsia="Calibri" w:cs="Calibri"/>
        </w:rPr>
      </w:pPr>
      <w:r w:rsidRPr="002D3A6E">
        <w:rPr>
          <w:rFonts w:eastAsia="Calibri" w:cs="Calibri"/>
        </w:rPr>
        <w:t>Mycometrics LLC</w:t>
      </w:r>
    </w:p>
    <w:p w14:paraId="597140B6" w14:textId="77777777" w:rsidR="002C487C" w:rsidRPr="002D3A6E" w:rsidRDefault="001A6018" w:rsidP="00466750">
      <w:pPr>
        <w:shd w:val="clear" w:color="auto" w:fill="FFFFFF"/>
        <w:ind w:left="720"/>
        <w:jc w:val="both"/>
        <w:rPr>
          <w:rFonts w:ascii="Calibri" w:eastAsia="Calibri" w:hAnsi="Calibri" w:cs="Calibri"/>
          <w:sz w:val="22"/>
          <w:szCs w:val="22"/>
        </w:rPr>
      </w:pPr>
      <w:hyperlink r:id="rId12" w:history="1">
        <w:r w:rsidR="002C487C" w:rsidRPr="002D3A6E">
          <w:rPr>
            <w:rFonts w:eastAsia="Calibri"/>
          </w:rPr>
          <w:t>https://www.mycometrics.com/online.html</w:t>
        </w:r>
      </w:hyperlink>
      <w:r w:rsidR="002C487C" w:rsidRPr="002D3A6E">
        <w:rPr>
          <w:rFonts w:eastAsia="Calibri" w:cs="Calibri"/>
        </w:rPr>
        <w:t xml:space="preserve">  #1-732-355-9018</w:t>
      </w:r>
    </w:p>
    <w:p w14:paraId="68CC7742" w14:textId="77777777" w:rsidR="002C487C" w:rsidRPr="002D3A6E" w:rsidRDefault="002C487C" w:rsidP="00466750">
      <w:pPr>
        <w:numPr>
          <w:ilvl w:val="0"/>
          <w:numId w:val="8"/>
        </w:numPr>
        <w:shd w:val="clear" w:color="auto" w:fill="FFFFFF"/>
        <w:jc w:val="both"/>
        <w:rPr>
          <w:rFonts w:eastAsia="Calibri" w:cs="Calibri"/>
        </w:rPr>
      </w:pPr>
      <w:r w:rsidRPr="002D3A6E">
        <w:rPr>
          <w:rFonts w:eastAsia="Calibri" w:cs="Calibri"/>
        </w:rPr>
        <w:t>EnviroBiomics, Inc.</w:t>
      </w:r>
    </w:p>
    <w:p w14:paraId="07080376" w14:textId="77777777" w:rsidR="002C487C" w:rsidRPr="007F1C85" w:rsidRDefault="001A6018" w:rsidP="00466750">
      <w:pPr>
        <w:shd w:val="clear" w:color="auto" w:fill="FFFFFF"/>
        <w:ind w:left="720"/>
        <w:jc w:val="both"/>
        <w:rPr>
          <w:rFonts w:ascii="Calibri" w:eastAsia="Calibri" w:hAnsi="Calibri" w:cs="Calibri"/>
          <w:color w:val="000000"/>
          <w:sz w:val="22"/>
          <w:szCs w:val="22"/>
          <w:u w:color="000000"/>
        </w:rPr>
      </w:pPr>
      <w:hyperlink r:id="rId13" w:history="1">
        <w:r w:rsidR="002C487C" w:rsidRPr="002D3A6E">
          <w:rPr>
            <w:rFonts w:eastAsia="Calibri"/>
          </w:rPr>
          <w:t>https://www.envirobiomics.com/shopping</w:t>
        </w:r>
      </w:hyperlink>
      <w:r w:rsidR="002C487C" w:rsidRPr="002D3A6E">
        <w:rPr>
          <w:rFonts w:eastAsia="Calibri" w:cs="Calibri"/>
        </w:rPr>
        <w:t xml:space="preserve"> #1-210-233-</w:t>
      </w:r>
      <w:r w:rsidR="002C487C" w:rsidRPr="007F1C85">
        <w:rPr>
          <w:rFonts w:eastAsia="Calibri" w:cs="Calibri"/>
          <w:color w:val="000000"/>
          <w:u w:color="000000"/>
        </w:rPr>
        <w:t>6162</w:t>
      </w:r>
    </w:p>
    <w:p w14:paraId="5979693B" w14:textId="77777777" w:rsidR="002C487C" w:rsidRPr="007F1C85" w:rsidRDefault="002C487C" w:rsidP="00466750">
      <w:pPr>
        <w:jc w:val="both"/>
        <w:rPr>
          <w:rFonts w:ascii="Calibri" w:eastAsia="Calibri" w:hAnsi="Calibri" w:cs="Calibri"/>
          <w:color w:val="000000"/>
          <w:sz w:val="22"/>
          <w:szCs w:val="22"/>
          <w:u w:color="000000"/>
        </w:rPr>
      </w:pPr>
    </w:p>
    <w:p w14:paraId="21C6F273" w14:textId="50250859" w:rsidR="002C487C" w:rsidRDefault="002C487C" w:rsidP="00466750">
      <w:pPr>
        <w:jc w:val="both"/>
        <w:rPr>
          <w:rFonts w:eastAsia="Calibri" w:cs="Calibri"/>
          <w:color w:val="000000"/>
          <w:u w:color="000000"/>
        </w:rPr>
      </w:pPr>
      <w:r w:rsidRPr="007F1C85">
        <w:rPr>
          <w:rFonts w:eastAsia="Calibri" w:cs="Calibri"/>
          <w:color w:val="000000"/>
          <w:u w:color="000000"/>
          <w:lang w:val="it-IT"/>
        </w:rPr>
        <w:t>Editor</w:t>
      </w:r>
      <w:r w:rsidR="00586CD0">
        <w:rPr>
          <w:rFonts w:eastAsia="Calibri" w:cs="Calibri"/>
          <w:color w:val="000000"/>
          <w:u w:color="000000"/>
        </w:rPr>
        <w:t xml:space="preserve">’s note: </w:t>
      </w:r>
      <w:r w:rsidRPr="007F1C85">
        <w:rPr>
          <w:rFonts w:eastAsia="Calibri" w:cs="Calibri"/>
          <w:color w:val="000000"/>
          <w:u w:color="000000"/>
        </w:rPr>
        <w:t>additional documentation is available. See the IEP consensus from 4/</w:t>
      </w:r>
      <w:r w:rsidR="00586CD0">
        <w:rPr>
          <w:rFonts w:eastAsia="Calibri" w:cs="Calibri"/>
          <w:color w:val="000000"/>
          <w:u w:color="000000"/>
        </w:rPr>
        <w:t>20</w:t>
      </w:r>
      <w:r w:rsidRPr="007F1C85">
        <w:rPr>
          <w:rFonts w:eastAsia="Calibri" w:cs="Calibri"/>
          <w:color w:val="000000"/>
          <w:u w:color="000000"/>
        </w:rPr>
        <w:t xml:space="preserve">16 found on the home page of </w:t>
      </w:r>
      <w:hyperlink r:id="rId14" w:history="1">
        <w:r w:rsidR="00AF4E45" w:rsidRPr="00FF1F94">
          <w:rPr>
            <w:rStyle w:val="Hyperlink"/>
            <w:rFonts w:eastAsia="Calibri" w:cs="Calibri"/>
            <w:u w:color="000000"/>
          </w:rPr>
          <w:t>www.survivingmold.com</w:t>
        </w:r>
      </w:hyperlink>
      <w:r w:rsidRPr="007F1C85">
        <w:rPr>
          <w:rFonts w:eastAsia="Calibri" w:cs="Calibri"/>
          <w:color w:val="000000"/>
          <w:u w:color="000000"/>
        </w:rPr>
        <w:t>.</w:t>
      </w:r>
    </w:p>
    <w:p w14:paraId="0BAC1077" w14:textId="77777777" w:rsidR="00AF4E45" w:rsidRPr="007F1C85" w:rsidRDefault="00AF4E45" w:rsidP="00466750">
      <w:pPr>
        <w:jc w:val="both"/>
        <w:rPr>
          <w:rFonts w:ascii="Calibri" w:eastAsia="Calibri" w:hAnsi="Calibri" w:cs="Calibri"/>
          <w:color w:val="000000"/>
          <w:sz w:val="22"/>
          <w:szCs w:val="22"/>
          <w:u w:color="000000"/>
        </w:rPr>
      </w:pPr>
    </w:p>
    <w:p w14:paraId="34AEFB1C" w14:textId="34C430F6" w:rsidR="00185232" w:rsidRDefault="006074F5" w:rsidP="00466750">
      <w:pPr>
        <w:pStyle w:val="BodyA"/>
        <w:spacing w:after="0"/>
        <w:jc w:val="both"/>
      </w:pPr>
      <w:r>
        <w:rPr>
          <w:rStyle w:val="None"/>
          <w:rFonts w:ascii="Times New Roman" w:hAnsi="Times New Roman"/>
          <w:b/>
          <w:bCs/>
          <w:sz w:val="28"/>
          <w:szCs w:val="28"/>
          <w:lang w:val="fr-FR"/>
        </w:rPr>
        <w:t>Section 8</w:t>
      </w:r>
      <w:r w:rsidR="00B63947">
        <w:rPr>
          <w:rStyle w:val="None"/>
          <w:rFonts w:ascii="Times New Roman" w:hAnsi="Times New Roman"/>
          <w:b/>
          <w:bCs/>
          <w:sz w:val="28"/>
          <w:szCs w:val="28"/>
          <w:lang w:val="fr-FR"/>
        </w:rPr>
        <w:t>.</w:t>
      </w:r>
      <w:r>
        <w:rPr>
          <w:rStyle w:val="None"/>
          <w:rFonts w:ascii="Times New Roman" w:hAnsi="Times New Roman"/>
          <w:b/>
          <w:bCs/>
          <w:sz w:val="28"/>
          <w:szCs w:val="28"/>
          <w:lang w:val="fr-FR"/>
        </w:rPr>
        <w:t xml:space="preserve"> Post Lyme Syndrome (CIRS-PLS)</w:t>
      </w:r>
    </w:p>
    <w:p w14:paraId="37E43445" w14:textId="77777777" w:rsidR="00185232" w:rsidRDefault="00185232" w:rsidP="00466750">
      <w:pPr>
        <w:pStyle w:val="BodyA"/>
        <w:spacing w:after="0"/>
        <w:jc w:val="both"/>
      </w:pPr>
    </w:p>
    <w:p w14:paraId="48B5FF67" w14:textId="576CB58A" w:rsidR="00185232" w:rsidRDefault="006074F5" w:rsidP="00466750">
      <w:pPr>
        <w:pStyle w:val="BodyA"/>
        <w:jc w:val="both"/>
      </w:pPr>
      <w:r>
        <w:rPr>
          <w:rStyle w:val="None"/>
          <w:rFonts w:ascii="Times New Roman" w:hAnsi="Times New Roman"/>
          <w:sz w:val="24"/>
          <w:szCs w:val="24"/>
        </w:rPr>
        <w:t xml:space="preserve">Chronic Inflammatory Response Syndrome-Post-Lyme Syndrome (CIRS-PLS) occurs after the acute phase of Lyme disease, marked by an end of antibiotic use. Lyme disease is the most common vector-borne disease in the United States and Europe (1). It is a systemic tick-borne infection caused by the bacteria </w:t>
      </w:r>
      <w:r>
        <w:rPr>
          <w:rStyle w:val="None"/>
          <w:rFonts w:ascii="Times New Roman" w:hAnsi="Times New Roman"/>
          <w:i/>
          <w:iCs/>
          <w:sz w:val="24"/>
          <w:szCs w:val="24"/>
          <w:lang w:val="nl-NL"/>
        </w:rPr>
        <w:t>Borrelia burgdorferi</w:t>
      </w:r>
      <w:r>
        <w:rPr>
          <w:rStyle w:val="None"/>
          <w:rFonts w:ascii="Times New Roman" w:hAnsi="Times New Roman"/>
          <w:sz w:val="24"/>
          <w:szCs w:val="24"/>
        </w:rPr>
        <w:t>. In the acute phase of Lyme disease, symptoms reported in older literature include arthritis, meningitis, facial palsy and myocarditis (2). More recently, however, acute Lyme creates systemic inflammatory illness, with transcriptomic and proteomic markers seen within 48 hours of tick bite</w:t>
      </w:r>
      <w:r w:rsidR="00BA289D">
        <w:rPr>
          <w:rStyle w:val="None"/>
          <w:rFonts w:ascii="Times New Roman" w:hAnsi="Times New Roman"/>
          <w:sz w:val="24"/>
          <w:szCs w:val="24"/>
        </w:rPr>
        <w:t xml:space="preserve"> </w:t>
      </w:r>
      <w:r>
        <w:rPr>
          <w:rStyle w:val="None"/>
          <w:rFonts w:ascii="Times New Roman" w:hAnsi="Times New Roman"/>
          <w:sz w:val="24"/>
          <w:szCs w:val="24"/>
        </w:rPr>
        <w:t>(3)</w:t>
      </w:r>
      <w:r w:rsidR="00BA289D">
        <w:rPr>
          <w:rStyle w:val="None"/>
          <w:rFonts w:ascii="Times New Roman" w:hAnsi="Times New Roman"/>
          <w:sz w:val="24"/>
          <w:szCs w:val="24"/>
        </w:rPr>
        <w:t>.</w:t>
      </w:r>
      <w:r>
        <w:rPr>
          <w:rStyle w:val="None"/>
          <w:rFonts w:ascii="Times New Roman" w:hAnsi="Times New Roman"/>
          <w:sz w:val="24"/>
          <w:szCs w:val="24"/>
        </w:rPr>
        <w:t xml:space="preserve">  The erythema migrans (EM) rash is a target lesion that is seen in fewer than 70% of acute cases (4). In the acute phase, patients develop increased complement split products of the third and fourth element</w:t>
      </w:r>
      <w:r w:rsidR="00185E21">
        <w:rPr>
          <w:rStyle w:val="None"/>
          <w:rFonts w:ascii="Times New Roman" w:hAnsi="Times New Roman"/>
          <w:sz w:val="24"/>
          <w:szCs w:val="24"/>
        </w:rPr>
        <w:t>s</w:t>
      </w:r>
      <w:r>
        <w:rPr>
          <w:rStyle w:val="None"/>
          <w:rFonts w:ascii="Times New Roman" w:hAnsi="Times New Roman"/>
          <w:sz w:val="24"/>
          <w:szCs w:val="24"/>
        </w:rPr>
        <w:t xml:space="preserve"> of complement. (5)  These elevations are present in both EM-positive and EM-negative acute Lyme patients which make C4a and C3a useful biomarkers for Lyme disease. </w:t>
      </w:r>
    </w:p>
    <w:p w14:paraId="0913DF13" w14:textId="461E4325" w:rsidR="00185232" w:rsidRDefault="00FA4498" w:rsidP="00466750">
      <w:pPr>
        <w:pStyle w:val="BodyA"/>
        <w:jc w:val="both"/>
      </w:pPr>
      <w:r>
        <w:rPr>
          <w:rStyle w:val="None"/>
          <w:rFonts w:ascii="Times New Roman" w:hAnsi="Times New Roman"/>
          <w:sz w:val="24"/>
          <w:szCs w:val="24"/>
        </w:rPr>
        <w:t xml:space="preserve">For an estimated 20% </w:t>
      </w:r>
      <w:r w:rsidR="006074F5">
        <w:rPr>
          <w:rStyle w:val="None"/>
          <w:rFonts w:ascii="Times New Roman" w:hAnsi="Times New Roman"/>
          <w:sz w:val="24"/>
          <w:szCs w:val="24"/>
        </w:rPr>
        <w:t>of patient</w:t>
      </w:r>
      <w:r w:rsidR="00185E21">
        <w:rPr>
          <w:rStyle w:val="None"/>
          <w:rFonts w:ascii="Times New Roman" w:hAnsi="Times New Roman"/>
          <w:sz w:val="24"/>
          <w:szCs w:val="24"/>
        </w:rPr>
        <w:t>s</w:t>
      </w:r>
      <w:r w:rsidR="006074F5">
        <w:rPr>
          <w:rStyle w:val="None"/>
          <w:rFonts w:ascii="Times New Roman" w:hAnsi="Times New Roman"/>
          <w:sz w:val="24"/>
          <w:szCs w:val="24"/>
        </w:rPr>
        <w:t xml:space="preserve"> treated with antibiotics for acute Lyme disease, a post-treatment Lyme disease syndrome develops (6). This post-treatment Lyme disease is best understood as a chronic inflammatory response syndrome because of its parallels to other varieties of CIRS subtypes</w:t>
      </w:r>
      <w:r w:rsidR="0046662F">
        <w:rPr>
          <w:rStyle w:val="None"/>
          <w:rFonts w:ascii="Times New Roman" w:hAnsi="Times New Roman"/>
          <w:sz w:val="24"/>
          <w:szCs w:val="24"/>
        </w:rPr>
        <w:t xml:space="preserve"> (7)</w:t>
      </w:r>
      <w:r w:rsidR="006074F5">
        <w:rPr>
          <w:rStyle w:val="None"/>
          <w:rFonts w:ascii="Times New Roman" w:hAnsi="Times New Roman"/>
          <w:sz w:val="24"/>
          <w:szCs w:val="24"/>
        </w:rPr>
        <w:t>. These similarities include a strong genetic predisposition based on HLA haplotypes (15-6-51, 1</w:t>
      </w:r>
      <w:r w:rsidR="00185E21">
        <w:rPr>
          <w:rStyle w:val="None"/>
          <w:rFonts w:ascii="Times New Roman" w:hAnsi="Times New Roman"/>
          <w:sz w:val="24"/>
          <w:szCs w:val="24"/>
        </w:rPr>
        <w:t>6-5-51, 4-3-53, 11-3-52B). Additional</w:t>
      </w:r>
      <w:r w:rsidR="006074F5">
        <w:rPr>
          <w:rStyle w:val="None"/>
          <w:rFonts w:ascii="Times New Roman" w:hAnsi="Times New Roman"/>
          <w:sz w:val="24"/>
          <w:szCs w:val="24"/>
        </w:rPr>
        <w:t xml:space="preserve"> proteomic parallels to other chronic inflammatory syndromes are lower levels of regulatory peptides, especially MSH, higher than normal levels of transforming growth factor beta-1, split products of activation of the third and fourth element of complement and disrupted regulation of feedback control of osmolality by ADH and cortisol by ACTH. Various other diagnostic modalities are disrupted including deficits in visual contrast sensitivity (VCS) testing; stress echocardiograms revealing acquired pulmonary hypertension; pulmonary function tests revealing restrictive lung disease; and brain volumetric studies (NeuroQuant</w:t>
      </w:r>
      <w:r w:rsidR="005B0CF3">
        <w:rPr>
          <w:rStyle w:val="None"/>
          <w:rFonts w:ascii="Times New Roman" w:hAnsi="Times New Roman" w:cs="Times New Roman"/>
          <w:sz w:val="24"/>
          <w:szCs w:val="24"/>
        </w:rPr>
        <w:t>®</w:t>
      </w:r>
      <w:r w:rsidR="006074F5">
        <w:rPr>
          <w:rStyle w:val="None"/>
          <w:rFonts w:ascii="Times New Roman" w:hAnsi="Times New Roman"/>
          <w:sz w:val="24"/>
          <w:szCs w:val="24"/>
        </w:rPr>
        <w:t xml:space="preserve">) findings of excessive atrophy of gray matter nuclear material in the bilateral putamen and right thalamic swelling. The notable divergences between the proteomic and diagnostic differences between CIRS-PLS and CIRS-WDB, the predominant chronic inflammatory response syndrome, are some of the HLA genetic haplotypes particular to increased Lyme but not WDB sensitivity; elevations of C3a, a complement pathway specific to bacterial sources of innate immune system perturbation and brain volumetric findings. </w:t>
      </w:r>
    </w:p>
    <w:p w14:paraId="5A618869" w14:textId="44A16A74" w:rsidR="00185232" w:rsidRDefault="006074F5" w:rsidP="00466750">
      <w:pPr>
        <w:pStyle w:val="BodyA"/>
        <w:jc w:val="both"/>
      </w:pPr>
      <w:r>
        <w:rPr>
          <w:rStyle w:val="None"/>
          <w:rFonts w:ascii="Times New Roman" w:hAnsi="Times New Roman"/>
          <w:sz w:val="24"/>
          <w:szCs w:val="24"/>
        </w:rPr>
        <w:t>The use of transcriptomics using RNA-seq most strongly affirms the existence and pathophysiology of CIRS-PLS (7). While the clinical complaints of post-Lyme patients might be disregarded as subjective and the proteomic changes considered non-specific, RNA-seq detects unique patterns of differential gene activation. These patterns have been sometimes referred to as a “transcriptomic signature.” It demonstrates changes in the acute, post-treatment and chronic phases of Lyme disease. Bouquet</w:t>
      </w:r>
      <w:r w:rsidR="00FA4498">
        <w:rPr>
          <w:rStyle w:val="None"/>
          <w:rFonts w:ascii="Times New Roman" w:hAnsi="Times New Roman"/>
          <w:sz w:val="24"/>
          <w:szCs w:val="24"/>
        </w:rPr>
        <w:t>, et al (7)</w:t>
      </w:r>
      <w:r>
        <w:rPr>
          <w:rStyle w:val="None"/>
          <w:rFonts w:ascii="Times New Roman" w:hAnsi="Times New Roman"/>
          <w:sz w:val="24"/>
          <w:szCs w:val="24"/>
        </w:rPr>
        <w:t xml:space="preserve"> assess</w:t>
      </w:r>
      <w:r w:rsidR="00BA289D">
        <w:rPr>
          <w:rStyle w:val="None"/>
          <w:rFonts w:ascii="Times New Roman" w:hAnsi="Times New Roman"/>
          <w:sz w:val="24"/>
          <w:szCs w:val="24"/>
        </w:rPr>
        <w:t>ed</w:t>
      </w:r>
      <w:r>
        <w:rPr>
          <w:rStyle w:val="None"/>
          <w:rFonts w:ascii="Times New Roman" w:hAnsi="Times New Roman"/>
          <w:sz w:val="24"/>
          <w:szCs w:val="24"/>
        </w:rPr>
        <w:t xml:space="preserve"> transcriptomics at </w:t>
      </w:r>
      <w:r w:rsidR="00AE3991">
        <w:rPr>
          <w:rStyle w:val="None"/>
          <w:rFonts w:ascii="Times New Roman" w:hAnsi="Times New Roman"/>
          <w:sz w:val="24"/>
          <w:szCs w:val="24"/>
        </w:rPr>
        <w:t>three-time</w:t>
      </w:r>
      <w:r>
        <w:rPr>
          <w:rStyle w:val="None"/>
          <w:rFonts w:ascii="Times New Roman" w:hAnsi="Times New Roman"/>
          <w:sz w:val="24"/>
          <w:szCs w:val="24"/>
        </w:rPr>
        <w:t xml:space="preserve"> points: at the initial date seen and diagnosed with Lyme disease, after three weeks of antibiotics treatment and six months post-treatment. His study found marked differences in gene activation and suppression between cases and controls in 1,235 genes in the initial period. After three weeks of antibiotic treatment, 1,060 genes remained abnormal. The persistence of perturbed differential gene activation after antibiotic treatment offers genomic validation of persistent illness and the concept of CIRS-PLS. After 6 months, 636 genes remained abnormal. Notably, there were no differences in abnormal gene activation between subjects who reported they were “fully recovered” and those who remained persistently symptomatic. The symptoms were not predictive of the persistence of perturbed differential gene activation. This finding advances the notion of the persistence of post-Lyme disease: patients presumably thought to have recovered from antibiotic treatment are experiencing objective subclinical pathology at the transcriptomic level. </w:t>
      </w:r>
    </w:p>
    <w:p w14:paraId="6ABAF9EF" w14:textId="18CB6AE7" w:rsidR="00185232" w:rsidRDefault="006074F5" w:rsidP="00466750">
      <w:pPr>
        <w:pStyle w:val="BodyA"/>
        <w:jc w:val="both"/>
      </w:pPr>
      <w:r>
        <w:rPr>
          <w:rStyle w:val="None"/>
          <w:rFonts w:ascii="Times New Roman" w:hAnsi="Times New Roman"/>
          <w:sz w:val="24"/>
          <w:szCs w:val="24"/>
        </w:rPr>
        <w:t>The transcriptomic signature of post-treatment Lyme disease is unique compared with other inflammatory and immune-mediated conditions. (7) There are two disturbed gene pathways specific to Lyme: glutathione-mediated detoxification and IL-6 signaling pathways. Pathway analysis in the six</w:t>
      </w:r>
      <w:r w:rsidR="00BA289D">
        <w:rPr>
          <w:rStyle w:val="None"/>
          <w:rFonts w:ascii="Times New Roman" w:hAnsi="Times New Roman"/>
          <w:sz w:val="24"/>
          <w:szCs w:val="24"/>
        </w:rPr>
        <w:t>-</w:t>
      </w:r>
      <w:r>
        <w:rPr>
          <w:rStyle w:val="None"/>
          <w:rFonts w:ascii="Times New Roman" w:hAnsi="Times New Roman"/>
          <w:sz w:val="24"/>
          <w:szCs w:val="24"/>
        </w:rPr>
        <w:t xml:space="preserve">month post-treatment group with publicly available transcriptome data sets from patients with chronic illnesses shows varying overlap of differentially expressed genes up to 60%. These other chronic illnesses include chronic fatigue syndrome, systemic lupus erythematosus and rheumatoid arthritis. A notable gene that is suppressed at all </w:t>
      </w:r>
      <w:r w:rsidR="00AE3991">
        <w:rPr>
          <w:rStyle w:val="None"/>
          <w:rFonts w:ascii="Times New Roman" w:hAnsi="Times New Roman"/>
          <w:sz w:val="24"/>
          <w:szCs w:val="24"/>
        </w:rPr>
        <w:t>three-time</w:t>
      </w:r>
      <w:r>
        <w:rPr>
          <w:rStyle w:val="None"/>
          <w:rFonts w:ascii="Times New Roman" w:hAnsi="Times New Roman"/>
          <w:sz w:val="24"/>
          <w:szCs w:val="24"/>
        </w:rPr>
        <w:t xml:space="preserve"> points is eIF2. eIF2 is a gene pathway that modulates ribosome-transfer binding, the process underlying the start of translation. Disruption of translation interrupts the vital function of protein synthesis from messenger RNA. Down-regulation of eIF2 is not specific to Lyme disease. This suppression is also seen in patients colonized with </w:t>
      </w:r>
      <w:r w:rsidR="00AE3991">
        <w:rPr>
          <w:rStyle w:val="None"/>
          <w:rFonts w:ascii="Times New Roman" w:hAnsi="Times New Roman"/>
          <w:sz w:val="24"/>
          <w:szCs w:val="24"/>
        </w:rPr>
        <w:t>MARCoNS</w:t>
      </w:r>
      <w:r w:rsidR="0046662F">
        <w:rPr>
          <w:rStyle w:val="None"/>
          <w:rFonts w:ascii="Times New Roman" w:hAnsi="Times New Roman"/>
          <w:sz w:val="24"/>
          <w:szCs w:val="24"/>
        </w:rPr>
        <w:t>, SLE and RA. Restoration of e</w:t>
      </w:r>
      <w:r w:rsidR="003C0EA2">
        <w:rPr>
          <w:rStyle w:val="None"/>
          <w:rFonts w:ascii="Times New Roman" w:hAnsi="Times New Roman"/>
          <w:sz w:val="24"/>
          <w:szCs w:val="24"/>
        </w:rPr>
        <w:t>I</w:t>
      </w:r>
      <w:r w:rsidR="0046662F">
        <w:rPr>
          <w:rStyle w:val="None"/>
          <w:rFonts w:ascii="Times New Roman" w:hAnsi="Times New Roman"/>
          <w:sz w:val="24"/>
          <w:szCs w:val="24"/>
        </w:rPr>
        <w:t>F2</w:t>
      </w:r>
      <w:r w:rsidR="001159E0">
        <w:rPr>
          <w:rStyle w:val="None"/>
          <w:rFonts w:ascii="Times New Roman" w:hAnsi="Times New Roman"/>
          <w:sz w:val="24"/>
          <w:szCs w:val="24"/>
        </w:rPr>
        <w:t xml:space="preserve"> </w:t>
      </w:r>
      <w:r>
        <w:rPr>
          <w:rStyle w:val="None"/>
          <w:rFonts w:ascii="Times New Roman" w:hAnsi="Times New Roman"/>
          <w:sz w:val="24"/>
          <w:szCs w:val="24"/>
        </w:rPr>
        <w:t>has been documented after use of exogenous VIP as part of the CIRS protocol (8).</w:t>
      </w:r>
    </w:p>
    <w:p w14:paraId="22134534" w14:textId="74DBAEE5" w:rsidR="00185232" w:rsidRDefault="006074F5" w:rsidP="00466750">
      <w:pPr>
        <w:pStyle w:val="BodyA"/>
        <w:jc w:val="both"/>
      </w:pPr>
      <w:r>
        <w:rPr>
          <w:rStyle w:val="None"/>
          <w:rFonts w:ascii="Times New Roman" w:hAnsi="Times New Roman"/>
          <w:sz w:val="24"/>
          <w:szCs w:val="24"/>
        </w:rPr>
        <w:t>Consistent w</w:t>
      </w:r>
      <w:r w:rsidR="00FA4498">
        <w:rPr>
          <w:rStyle w:val="None"/>
          <w:rFonts w:ascii="Times New Roman" w:hAnsi="Times New Roman"/>
          <w:sz w:val="24"/>
          <w:szCs w:val="24"/>
        </w:rPr>
        <w:t>ith the theory that Post-Lyme Syndrome</w:t>
      </w:r>
      <w:r>
        <w:rPr>
          <w:rStyle w:val="None"/>
          <w:rFonts w:ascii="Times New Roman" w:hAnsi="Times New Roman"/>
          <w:sz w:val="24"/>
          <w:szCs w:val="24"/>
        </w:rPr>
        <w:t xml:space="preserve"> is a chronic inflammatory syndrome is the detection of upregulated pro-inflammatory cytokines. There are eight notable up-regulated inflammatory genes: interferon gamma, interleukin-1 beta, tumor necrosis factor alpha, interleukin-6, transforming growth factor beta-1, anti-inflammatory cytokine interleukin-4, colony stimulating factor 2, cell surface and marker ligand CD40L. Genes upregulated after treatment of antibiotics include Toll like adapter molecule 1 and nuclear factor kappa-B. </w:t>
      </w:r>
    </w:p>
    <w:p w14:paraId="3B1A1217" w14:textId="73716E8A" w:rsidR="00235DBA" w:rsidRDefault="006074F5" w:rsidP="00466750">
      <w:pPr>
        <w:pStyle w:val="BodyA"/>
        <w:jc w:val="both"/>
        <w:rPr>
          <w:rStyle w:val="None"/>
          <w:rFonts w:ascii="Times New Roman" w:hAnsi="Times New Roman"/>
          <w:sz w:val="24"/>
          <w:szCs w:val="24"/>
        </w:rPr>
      </w:pPr>
      <w:r>
        <w:rPr>
          <w:rStyle w:val="None"/>
          <w:rFonts w:ascii="Times New Roman" w:hAnsi="Times New Roman"/>
          <w:sz w:val="24"/>
          <w:szCs w:val="24"/>
        </w:rPr>
        <w:t xml:space="preserve">Ryan </w:t>
      </w:r>
      <w:r w:rsidR="00315713">
        <w:rPr>
          <w:rStyle w:val="None"/>
          <w:rFonts w:ascii="Times New Roman" w:hAnsi="Times New Roman"/>
          <w:sz w:val="24"/>
          <w:szCs w:val="24"/>
        </w:rPr>
        <w:t>and colleagues</w:t>
      </w:r>
      <w:r>
        <w:rPr>
          <w:rStyle w:val="None"/>
          <w:rFonts w:ascii="Times New Roman" w:hAnsi="Times New Roman"/>
          <w:sz w:val="24"/>
          <w:szCs w:val="24"/>
        </w:rPr>
        <w:t xml:space="preserve"> ha</w:t>
      </w:r>
      <w:r w:rsidR="00315713">
        <w:rPr>
          <w:rStyle w:val="None"/>
          <w:rFonts w:ascii="Times New Roman" w:hAnsi="Times New Roman"/>
          <w:sz w:val="24"/>
          <w:szCs w:val="24"/>
        </w:rPr>
        <w:t>ve</w:t>
      </w:r>
      <w:r>
        <w:rPr>
          <w:rStyle w:val="None"/>
          <w:rFonts w:ascii="Times New Roman" w:hAnsi="Times New Roman"/>
          <w:sz w:val="24"/>
          <w:szCs w:val="24"/>
        </w:rPr>
        <w:t xml:space="preserve"> found disruptions in microRNA </w:t>
      </w:r>
      <w:r w:rsidR="00315713">
        <w:rPr>
          <w:rStyle w:val="None"/>
          <w:rFonts w:ascii="Times New Roman" w:hAnsi="Times New Roman"/>
          <w:sz w:val="24"/>
          <w:szCs w:val="24"/>
        </w:rPr>
        <w:t xml:space="preserve">(unpublished) </w:t>
      </w:r>
      <w:r>
        <w:rPr>
          <w:rStyle w:val="None"/>
          <w:rFonts w:ascii="Times New Roman" w:hAnsi="Times New Roman"/>
          <w:sz w:val="24"/>
          <w:szCs w:val="24"/>
        </w:rPr>
        <w:t>not covered in the Bouquet study. The significance of perturbed microRNA is the implication that post-Lyme syndrome involves disruptions of the mechanisms of regulation of DNA expression. This finding extends the model for understanding PLS beyond the simplistic model of varying up-regulated and down-re</w:t>
      </w:r>
      <w:r w:rsidR="00185E21">
        <w:rPr>
          <w:rStyle w:val="None"/>
          <w:rFonts w:ascii="Times New Roman" w:hAnsi="Times New Roman"/>
          <w:sz w:val="24"/>
          <w:szCs w:val="24"/>
        </w:rPr>
        <w:t>gulated gene pathways.</w:t>
      </w:r>
      <w:r>
        <w:rPr>
          <w:rStyle w:val="None"/>
          <w:rFonts w:ascii="Times New Roman" w:hAnsi="Times New Roman"/>
          <w:sz w:val="24"/>
          <w:szCs w:val="24"/>
        </w:rPr>
        <w:t xml:space="preserve"> These transcriptomic deficits suggest the need for therapeutic approaches that </w:t>
      </w:r>
      <w:r w:rsidR="00185E21">
        <w:rPr>
          <w:rStyle w:val="None"/>
          <w:rFonts w:ascii="Times New Roman" w:hAnsi="Times New Roman"/>
          <w:sz w:val="24"/>
          <w:szCs w:val="24"/>
        </w:rPr>
        <w:t>eventually correct the abnormal gene expression</w:t>
      </w:r>
      <w:r>
        <w:rPr>
          <w:rStyle w:val="None"/>
          <w:rFonts w:ascii="Times New Roman" w:hAnsi="Times New Roman"/>
          <w:sz w:val="24"/>
          <w:szCs w:val="24"/>
        </w:rPr>
        <w:t>. A future direction of research is assessing if the CIRS protocol resolves the gene activation abnormalities. Prior data has demonstrated the ability of the CIRS protocol to normalize the proteomic disturbances that remain post-treatment with antibiotics.</w:t>
      </w:r>
    </w:p>
    <w:p w14:paraId="2320868E" w14:textId="77777777" w:rsidR="0036523A" w:rsidRDefault="0036523A" w:rsidP="00466750">
      <w:pPr>
        <w:pStyle w:val="BodyA"/>
        <w:jc w:val="both"/>
        <w:rPr>
          <w:rStyle w:val="None"/>
          <w:rFonts w:ascii="Times New Roman" w:hAnsi="Times New Roman"/>
          <w:sz w:val="24"/>
          <w:szCs w:val="24"/>
        </w:rPr>
        <w:sectPr w:rsidR="0036523A" w:rsidSect="0036523A">
          <w:type w:val="continuous"/>
          <w:pgSz w:w="12240" w:h="15840"/>
          <w:pgMar w:top="1260" w:right="1440" w:bottom="1440" w:left="1440" w:header="720" w:footer="576" w:gutter="0"/>
          <w:cols w:num="2" w:space="720"/>
          <w:titlePg/>
          <w:docGrid w:linePitch="326"/>
        </w:sectPr>
      </w:pPr>
    </w:p>
    <w:p w14:paraId="7234C52F" w14:textId="6B1F1975" w:rsidR="00235DBA" w:rsidRDefault="00235DBA" w:rsidP="00466750">
      <w:pPr>
        <w:pStyle w:val="BodyA"/>
        <w:jc w:val="both"/>
        <w:rPr>
          <w:rStyle w:val="None"/>
          <w:rFonts w:ascii="Times New Roman" w:hAnsi="Times New Roman"/>
          <w:sz w:val="24"/>
          <w:szCs w:val="24"/>
        </w:rPr>
      </w:pPr>
    </w:p>
    <w:p w14:paraId="00089F33" w14:textId="77777777" w:rsidR="0036523A" w:rsidRDefault="0036523A" w:rsidP="0036523A">
      <w:pPr>
        <w:pStyle w:val="BodyA"/>
        <w:jc w:val="both"/>
        <w:rPr>
          <w:rStyle w:val="None"/>
          <w:rFonts w:ascii="Times New Roman" w:hAnsi="Times New Roman" w:cs="Times New Roman"/>
        </w:rPr>
      </w:pPr>
    </w:p>
    <w:p w14:paraId="65D00F76" w14:textId="77777777" w:rsidR="0036523A" w:rsidRDefault="0036523A" w:rsidP="0036523A">
      <w:pPr>
        <w:pStyle w:val="BodyA"/>
        <w:jc w:val="both"/>
        <w:rPr>
          <w:rStyle w:val="None"/>
          <w:rFonts w:ascii="Times New Roman" w:hAnsi="Times New Roman" w:cs="Times New Roman"/>
        </w:rPr>
      </w:pPr>
    </w:p>
    <w:p w14:paraId="79EE1AF3" w14:textId="77777777" w:rsidR="0036523A" w:rsidRDefault="0036523A" w:rsidP="0036523A">
      <w:pPr>
        <w:pStyle w:val="BodyA"/>
        <w:jc w:val="both"/>
        <w:rPr>
          <w:rStyle w:val="None"/>
          <w:rFonts w:ascii="Times New Roman" w:hAnsi="Times New Roman" w:cs="Times New Roman"/>
        </w:rPr>
      </w:pPr>
    </w:p>
    <w:p w14:paraId="3E8CD822" w14:textId="77777777" w:rsidR="0036523A" w:rsidRDefault="0036523A" w:rsidP="0036523A">
      <w:pPr>
        <w:pStyle w:val="BodyA"/>
        <w:jc w:val="both"/>
        <w:rPr>
          <w:rStyle w:val="None"/>
          <w:rFonts w:ascii="Times New Roman" w:hAnsi="Times New Roman" w:cs="Times New Roman"/>
        </w:rPr>
      </w:pPr>
    </w:p>
    <w:p w14:paraId="3C4C73EF" w14:textId="77777777" w:rsidR="0036523A" w:rsidRDefault="0036523A" w:rsidP="0036523A">
      <w:pPr>
        <w:pStyle w:val="BodyA"/>
        <w:jc w:val="both"/>
        <w:rPr>
          <w:rStyle w:val="None"/>
          <w:rFonts w:ascii="Times New Roman" w:hAnsi="Times New Roman" w:cs="Times New Roman"/>
        </w:rPr>
      </w:pPr>
    </w:p>
    <w:p w14:paraId="6F3E2765" w14:textId="77777777" w:rsidR="00A43A95" w:rsidRDefault="00A43A95" w:rsidP="0036523A">
      <w:pPr>
        <w:pStyle w:val="BodyA"/>
        <w:jc w:val="both"/>
        <w:rPr>
          <w:rStyle w:val="None"/>
          <w:rFonts w:ascii="Times New Roman" w:hAnsi="Times New Roman" w:cs="Times New Roman"/>
        </w:rPr>
      </w:pPr>
    </w:p>
    <w:p w14:paraId="7E858E60" w14:textId="1010CABB" w:rsidR="00235DBA" w:rsidRPr="0036523A" w:rsidRDefault="00235DBA" w:rsidP="0036523A">
      <w:pPr>
        <w:pStyle w:val="BodyA"/>
        <w:jc w:val="both"/>
        <w:rPr>
          <w:rStyle w:val="None"/>
          <w:rFonts w:ascii="Times New Roman" w:eastAsia="Arial Unicode MS" w:hAnsi="Times New Roman" w:cs="Times New Roman"/>
          <w:color w:val="auto"/>
          <w:sz w:val="24"/>
          <w:szCs w:val="24"/>
        </w:rPr>
      </w:pPr>
      <w:r w:rsidRPr="0036523A">
        <w:rPr>
          <w:rStyle w:val="None"/>
          <w:rFonts w:ascii="Times New Roman" w:hAnsi="Times New Roman" w:cs="Times New Roman"/>
        </w:rPr>
        <w:t>Measure</w:t>
      </w:r>
      <w:r w:rsidRPr="0036523A">
        <w:rPr>
          <w:rStyle w:val="None"/>
          <w:rFonts w:ascii="Times New Roman" w:hAnsi="Times New Roman" w:cs="Times New Roman"/>
        </w:rPr>
        <w:tab/>
        <w:t>Control</w:t>
      </w:r>
      <w:r w:rsidRPr="0036523A">
        <w:rPr>
          <w:rStyle w:val="None"/>
          <w:rFonts w:ascii="Times New Roman" w:hAnsi="Times New Roman" w:cs="Times New Roman"/>
        </w:rPr>
        <w:tab/>
        <w:t xml:space="preserve">     Before abx</w:t>
      </w:r>
      <w:r w:rsidRPr="0036523A">
        <w:rPr>
          <w:rStyle w:val="None"/>
          <w:rFonts w:ascii="Times New Roman" w:hAnsi="Times New Roman" w:cs="Times New Roman"/>
        </w:rPr>
        <w:tab/>
      </w:r>
      <w:r w:rsidR="0036523A">
        <w:rPr>
          <w:rStyle w:val="None"/>
          <w:rFonts w:ascii="Times New Roman" w:hAnsi="Times New Roman" w:cs="Times New Roman"/>
        </w:rPr>
        <w:t xml:space="preserve">   </w:t>
      </w:r>
      <w:r w:rsidR="00A43A95">
        <w:rPr>
          <w:rStyle w:val="None"/>
          <w:rFonts w:ascii="Times New Roman" w:hAnsi="Times New Roman" w:cs="Times New Roman"/>
        </w:rPr>
        <w:t xml:space="preserve">After abx       </w:t>
      </w:r>
      <w:r w:rsidRPr="0036523A">
        <w:rPr>
          <w:rStyle w:val="None"/>
          <w:rFonts w:ascii="Times New Roman" w:hAnsi="Times New Roman" w:cs="Times New Roman"/>
        </w:rPr>
        <w:t>After CIRS RX</w:t>
      </w:r>
      <w:r w:rsidRPr="0036523A">
        <w:rPr>
          <w:rStyle w:val="None"/>
          <w:rFonts w:ascii="Times New Roman" w:hAnsi="Times New Roman" w:cs="Times New Roman"/>
        </w:rPr>
        <w:tab/>
      </w:r>
    </w:p>
    <w:tbl>
      <w:tblPr>
        <w:tblW w:w="6683" w:type="dxa"/>
        <w:tblInd w:w="-5" w:type="dxa"/>
        <w:tblLook w:val="04A0" w:firstRow="1" w:lastRow="0" w:firstColumn="1" w:lastColumn="0" w:noHBand="0" w:noVBand="1"/>
      </w:tblPr>
      <w:tblGrid>
        <w:gridCol w:w="1240"/>
        <w:gridCol w:w="1213"/>
        <w:gridCol w:w="1260"/>
        <w:gridCol w:w="1350"/>
        <w:gridCol w:w="1620"/>
      </w:tblGrid>
      <w:tr w:rsidR="00235DBA" w:rsidRPr="0036523A" w14:paraId="130C177F" w14:textId="77777777" w:rsidTr="00A43A95">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4B3E2AC" w14:textId="77777777" w:rsidR="00235DBA" w:rsidRPr="0036523A" w:rsidRDefault="00235DBA" w:rsidP="0036523A">
            <w:pPr>
              <w:jc w:val="both"/>
              <w:rPr>
                <w:rFonts w:eastAsia="Times New Roman"/>
                <w:b/>
                <w:bCs/>
              </w:rPr>
            </w:pPr>
            <w:r w:rsidRPr="0036523A">
              <w:rPr>
                <w:rFonts w:eastAsia="Times New Roman"/>
                <w:b/>
                <w:bCs/>
              </w:rPr>
              <w:t>N=</w:t>
            </w:r>
          </w:p>
        </w:tc>
        <w:tc>
          <w:tcPr>
            <w:tcW w:w="1213" w:type="dxa"/>
            <w:tcBorders>
              <w:top w:val="nil"/>
              <w:left w:val="nil"/>
              <w:bottom w:val="single" w:sz="4" w:space="0" w:color="auto"/>
              <w:right w:val="single" w:sz="4" w:space="0" w:color="auto"/>
            </w:tcBorders>
            <w:shd w:val="clear" w:color="auto" w:fill="auto"/>
            <w:noWrap/>
            <w:vAlign w:val="bottom"/>
            <w:hideMark/>
          </w:tcPr>
          <w:p w14:paraId="640BCC9B" w14:textId="77777777" w:rsidR="00235DBA" w:rsidRPr="0036523A" w:rsidRDefault="00235DBA" w:rsidP="0036523A">
            <w:pPr>
              <w:jc w:val="both"/>
              <w:rPr>
                <w:rFonts w:eastAsia="Times New Roman"/>
              </w:rPr>
            </w:pPr>
            <w:r w:rsidRPr="0036523A">
              <w:rPr>
                <w:rFonts w:eastAsia="Times New Roman"/>
              </w:rPr>
              <w:t>13</w:t>
            </w:r>
          </w:p>
        </w:tc>
        <w:tc>
          <w:tcPr>
            <w:tcW w:w="1260" w:type="dxa"/>
            <w:tcBorders>
              <w:top w:val="nil"/>
              <w:left w:val="nil"/>
              <w:bottom w:val="single" w:sz="4" w:space="0" w:color="auto"/>
              <w:right w:val="single" w:sz="4" w:space="0" w:color="auto"/>
            </w:tcBorders>
            <w:shd w:val="clear" w:color="auto" w:fill="auto"/>
            <w:noWrap/>
            <w:vAlign w:val="bottom"/>
            <w:hideMark/>
          </w:tcPr>
          <w:p w14:paraId="33B53445" w14:textId="77777777" w:rsidR="00235DBA" w:rsidRPr="0036523A" w:rsidRDefault="00235DBA" w:rsidP="0036523A">
            <w:pPr>
              <w:jc w:val="both"/>
              <w:rPr>
                <w:rFonts w:eastAsia="Times New Roman"/>
              </w:rPr>
            </w:pPr>
            <w:r w:rsidRPr="0036523A">
              <w:rPr>
                <w:rFonts w:eastAsia="Times New Roman"/>
              </w:rPr>
              <w:t>34</w:t>
            </w:r>
          </w:p>
        </w:tc>
        <w:tc>
          <w:tcPr>
            <w:tcW w:w="1350" w:type="dxa"/>
            <w:tcBorders>
              <w:top w:val="nil"/>
              <w:left w:val="nil"/>
              <w:bottom w:val="single" w:sz="4" w:space="0" w:color="auto"/>
              <w:right w:val="single" w:sz="4" w:space="0" w:color="auto"/>
            </w:tcBorders>
            <w:shd w:val="clear" w:color="auto" w:fill="auto"/>
            <w:noWrap/>
            <w:vAlign w:val="bottom"/>
            <w:hideMark/>
          </w:tcPr>
          <w:p w14:paraId="49A30C5D" w14:textId="77777777" w:rsidR="00235DBA" w:rsidRPr="0036523A" w:rsidRDefault="00235DBA" w:rsidP="0036523A">
            <w:pPr>
              <w:jc w:val="both"/>
              <w:rPr>
                <w:rFonts w:eastAsia="Times New Roman"/>
              </w:rPr>
            </w:pPr>
            <w:r w:rsidRPr="0036523A">
              <w:rPr>
                <w:rFonts w:eastAsia="Times New Roman"/>
              </w:rPr>
              <w:t>29</w:t>
            </w:r>
          </w:p>
        </w:tc>
        <w:tc>
          <w:tcPr>
            <w:tcW w:w="1620" w:type="dxa"/>
            <w:tcBorders>
              <w:top w:val="nil"/>
              <w:left w:val="nil"/>
              <w:bottom w:val="single" w:sz="4" w:space="0" w:color="auto"/>
              <w:right w:val="single" w:sz="4" w:space="0" w:color="auto"/>
            </w:tcBorders>
            <w:shd w:val="clear" w:color="auto" w:fill="auto"/>
            <w:noWrap/>
            <w:vAlign w:val="bottom"/>
            <w:hideMark/>
          </w:tcPr>
          <w:p w14:paraId="0F1E28B3" w14:textId="77777777" w:rsidR="00235DBA" w:rsidRPr="0036523A" w:rsidRDefault="00235DBA" w:rsidP="0036523A">
            <w:pPr>
              <w:jc w:val="both"/>
              <w:rPr>
                <w:rFonts w:eastAsia="Times New Roman"/>
              </w:rPr>
            </w:pPr>
            <w:r w:rsidRPr="0036523A">
              <w:rPr>
                <w:rFonts w:eastAsia="Times New Roman"/>
              </w:rPr>
              <w:t>31</w:t>
            </w:r>
          </w:p>
        </w:tc>
      </w:tr>
      <w:tr w:rsidR="00235DBA" w:rsidRPr="0036523A" w14:paraId="5A885560" w14:textId="77777777" w:rsidTr="00A43A95">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1EE2D04" w14:textId="77777777" w:rsidR="00235DBA" w:rsidRPr="0036523A" w:rsidRDefault="00235DBA" w:rsidP="0036523A">
            <w:pPr>
              <w:jc w:val="both"/>
              <w:rPr>
                <w:rFonts w:eastAsia="Times New Roman"/>
                <w:b/>
                <w:bCs/>
              </w:rPr>
            </w:pPr>
            <w:r w:rsidRPr="0036523A">
              <w:rPr>
                <w:rFonts w:eastAsia="Times New Roman"/>
                <w:b/>
                <w:bCs/>
              </w:rPr>
              <w:t>TGFB</w:t>
            </w:r>
          </w:p>
        </w:tc>
        <w:tc>
          <w:tcPr>
            <w:tcW w:w="1213" w:type="dxa"/>
            <w:tcBorders>
              <w:top w:val="nil"/>
              <w:left w:val="nil"/>
              <w:bottom w:val="single" w:sz="4" w:space="0" w:color="auto"/>
              <w:right w:val="single" w:sz="4" w:space="0" w:color="auto"/>
            </w:tcBorders>
            <w:shd w:val="clear" w:color="auto" w:fill="auto"/>
            <w:noWrap/>
            <w:vAlign w:val="bottom"/>
            <w:hideMark/>
          </w:tcPr>
          <w:p w14:paraId="3941D00A" w14:textId="77777777" w:rsidR="00235DBA" w:rsidRPr="0036523A" w:rsidRDefault="00235DBA" w:rsidP="0036523A">
            <w:pPr>
              <w:jc w:val="both"/>
              <w:rPr>
                <w:rFonts w:eastAsia="Times New Roman"/>
              </w:rPr>
            </w:pPr>
            <w:r w:rsidRPr="0036523A">
              <w:rPr>
                <w:rFonts w:eastAsia="Times New Roman"/>
              </w:rPr>
              <w:t>3621</w:t>
            </w:r>
          </w:p>
        </w:tc>
        <w:tc>
          <w:tcPr>
            <w:tcW w:w="1260" w:type="dxa"/>
            <w:tcBorders>
              <w:top w:val="nil"/>
              <w:left w:val="nil"/>
              <w:bottom w:val="single" w:sz="4" w:space="0" w:color="auto"/>
              <w:right w:val="single" w:sz="4" w:space="0" w:color="auto"/>
            </w:tcBorders>
            <w:shd w:val="clear" w:color="auto" w:fill="auto"/>
            <w:noWrap/>
            <w:vAlign w:val="bottom"/>
            <w:hideMark/>
          </w:tcPr>
          <w:p w14:paraId="2CD6E474" w14:textId="77777777" w:rsidR="00235DBA" w:rsidRPr="0036523A" w:rsidRDefault="00235DBA" w:rsidP="0036523A">
            <w:pPr>
              <w:jc w:val="both"/>
              <w:rPr>
                <w:rFonts w:eastAsia="Times New Roman"/>
              </w:rPr>
            </w:pPr>
            <w:r w:rsidRPr="0036523A">
              <w:rPr>
                <w:rFonts w:eastAsia="Times New Roman"/>
              </w:rPr>
              <w:t>6782</w:t>
            </w:r>
          </w:p>
        </w:tc>
        <w:tc>
          <w:tcPr>
            <w:tcW w:w="1350" w:type="dxa"/>
            <w:tcBorders>
              <w:top w:val="nil"/>
              <w:left w:val="nil"/>
              <w:bottom w:val="single" w:sz="4" w:space="0" w:color="auto"/>
              <w:right w:val="single" w:sz="4" w:space="0" w:color="auto"/>
            </w:tcBorders>
            <w:shd w:val="clear" w:color="auto" w:fill="auto"/>
            <w:noWrap/>
            <w:vAlign w:val="bottom"/>
            <w:hideMark/>
          </w:tcPr>
          <w:p w14:paraId="4B07014B" w14:textId="77777777" w:rsidR="00235DBA" w:rsidRPr="0036523A" w:rsidRDefault="00235DBA" w:rsidP="0036523A">
            <w:pPr>
              <w:jc w:val="both"/>
              <w:rPr>
                <w:rFonts w:eastAsia="Times New Roman"/>
              </w:rPr>
            </w:pPr>
            <w:r w:rsidRPr="0036523A">
              <w:rPr>
                <w:rFonts w:eastAsia="Times New Roman"/>
              </w:rPr>
              <w:t>8967</w:t>
            </w:r>
          </w:p>
        </w:tc>
        <w:tc>
          <w:tcPr>
            <w:tcW w:w="1620" w:type="dxa"/>
            <w:tcBorders>
              <w:top w:val="nil"/>
              <w:left w:val="nil"/>
              <w:bottom w:val="single" w:sz="4" w:space="0" w:color="auto"/>
              <w:right w:val="single" w:sz="4" w:space="0" w:color="auto"/>
            </w:tcBorders>
            <w:shd w:val="clear" w:color="auto" w:fill="auto"/>
            <w:noWrap/>
            <w:vAlign w:val="bottom"/>
            <w:hideMark/>
          </w:tcPr>
          <w:p w14:paraId="66C97B34" w14:textId="77777777" w:rsidR="00235DBA" w:rsidRPr="0036523A" w:rsidRDefault="00235DBA" w:rsidP="0036523A">
            <w:pPr>
              <w:jc w:val="both"/>
              <w:rPr>
                <w:rFonts w:eastAsia="Times New Roman"/>
              </w:rPr>
            </w:pPr>
            <w:r w:rsidRPr="0036523A">
              <w:rPr>
                <w:rFonts w:eastAsia="Times New Roman"/>
              </w:rPr>
              <w:t>4890</w:t>
            </w:r>
          </w:p>
        </w:tc>
      </w:tr>
      <w:tr w:rsidR="00235DBA" w:rsidRPr="0036523A" w14:paraId="5F1AA8E7" w14:textId="77777777" w:rsidTr="00A43A95">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B403BC3" w14:textId="77777777" w:rsidR="00235DBA" w:rsidRPr="0036523A" w:rsidRDefault="00235DBA" w:rsidP="0036523A">
            <w:pPr>
              <w:jc w:val="both"/>
              <w:rPr>
                <w:rFonts w:eastAsia="Times New Roman"/>
                <w:b/>
                <w:bCs/>
              </w:rPr>
            </w:pPr>
            <w:r w:rsidRPr="0036523A">
              <w:rPr>
                <w:rFonts w:eastAsia="Times New Roman"/>
                <w:b/>
                <w:bCs/>
              </w:rPr>
              <w:t>C4a</w:t>
            </w:r>
          </w:p>
        </w:tc>
        <w:tc>
          <w:tcPr>
            <w:tcW w:w="1213" w:type="dxa"/>
            <w:tcBorders>
              <w:top w:val="nil"/>
              <w:left w:val="nil"/>
              <w:bottom w:val="single" w:sz="4" w:space="0" w:color="auto"/>
              <w:right w:val="single" w:sz="4" w:space="0" w:color="auto"/>
            </w:tcBorders>
            <w:shd w:val="clear" w:color="auto" w:fill="auto"/>
            <w:noWrap/>
            <w:vAlign w:val="bottom"/>
            <w:hideMark/>
          </w:tcPr>
          <w:p w14:paraId="2A41734B" w14:textId="77777777" w:rsidR="00235DBA" w:rsidRPr="0036523A" w:rsidRDefault="00235DBA" w:rsidP="0036523A">
            <w:pPr>
              <w:jc w:val="both"/>
              <w:rPr>
                <w:rFonts w:eastAsia="Times New Roman"/>
              </w:rPr>
            </w:pPr>
            <w:r w:rsidRPr="0036523A">
              <w:rPr>
                <w:rFonts w:eastAsia="Times New Roman"/>
              </w:rPr>
              <w:t>3886</w:t>
            </w:r>
          </w:p>
        </w:tc>
        <w:tc>
          <w:tcPr>
            <w:tcW w:w="1260" w:type="dxa"/>
            <w:tcBorders>
              <w:top w:val="nil"/>
              <w:left w:val="nil"/>
              <w:bottom w:val="single" w:sz="4" w:space="0" w:color="auto"/>
              <w:right w:val="single" w:sz="4" w:space="0" w:color="auto"/>
            </w:tcBorders>
            <w:shd w:val="clear" w:color="auto" w:fill="auto"/>
            <w:noWrap/>
            <w:vAlign w:val="bottom"/>
            <w:hideMark/>
          </w:tcPr>
          <w:p w14:paraId="2BF0DAB7" w14:textId="77777777" w:rsidR="00235DBA" w:rsidRPr="0036523A" w:rsidRDefault="00235DBA" w:rsidP="0036523A">
            <w:pPr>
              <w:jc w:val="both"/>
              <w:rPr>
                <w:rFonts w:eastAsia="Times New Roman"/>
              </w:rPr>
            </w:pPr>
            <w:r w:rsidRPr="0036523A">
              <w:rPr>
                <w:rFonts w:eastAsia="Times New Roman"/>
              </w:rPr>
              <w:t>8149</w:t>
            </w:r>
          </w:p>
        </w:tc>
        <w:tc>
          <w:tcPr>
            <w:tcW w:w="1350" w:type="dxa"/>
            <w:tcBorders>
              <w:top w:val="nil"/>
              <w:left w:val="nil"/>
              <w:bottom w:val="single" w:sz="4" w:space="0" w:color="auto"/>
              <w:right w:val="single" w:sz="4" w:space="0" w:color="auto"/>
            </w:tcBorders>
            <w:shd w:val="clear" w:color="auto" w:fill="auto"/>
            <w:noWrap/>
            <w:vAlign w:val="bottom"/>
            <w:hideMark/>
          </w:tcPr>
          <w:p w14:paraId="5203697C" w14:textId="77777777" w:rsidR="00235DBA" w:rsidRPr="0036523A" w:rsidRDefault="00235DBA" w:rsidP="0036523A">
            <w:pPr>
              <w:jc w:val="both"/>
              <w:rPr>
                <w:rFonts w:eastAsia="Times New Roman"/>
              </w:rPr>
            </w:pPr>
            <w:r w:rsidRPr="0036523A">
              <w:rPr>
                <w:rFonts w:eastAsia="Times New Roman"/>
              </w:rPr>
              <w:t>6710</w:t>
            </w:r>
          </w:p>
        </w:tc>
        <w:tc>
          <w:tcPr>
            <w:tcW w:w="1620" w:type="dxa"/>
            <w:tcBorders>
              <w:top w:val="nil"/>
              <w:left w:val="nil"/>
              <w:bottom w:val="single" w:sz="4" w:space="0" w:color="auto"/>
              <w:right w:val="single" w:sz="4" w:space="0" w:color="auto"/>
            </w:tcBorders>
            <w:shd w:val="clear" w:color="auto" w:fill="auto"/>
            <w:noWrap/>
            <w:vAlign w:val="bottom"/>
            <w:hideMark/>
          </w:tcPr>
          <w:p w14:paraId="67F28D11" w14:textId="77777777" w:rsidR="00235DBA" w:rsidRPr="0036523A" w:rsidRDefault="00235DBA" w:rsidP="0036523A">
            <w:pPr>
              <w:jc w:val="both"/>
              <w:rPr>
                <w:rFonts w:eastAsia="Times New Roman"/>
              </w:rPr>
            </w:pPr>
            <w:r w:rsidRPr="0036523A">
              <w:rPr>
                <w:rFonts w:eastAsia="Times New Roman"/>
              </w:rPr>
              <w:t>4120</w:t>
            </w:r>
          </w:p>
        </w:tc>
      </w:tr>
      <w:tr w:rsidR="00235DBA" w:rsidRPr="0036523A" w14:paraId="5A69C3E5" w14:textId="77777777" w:rsidTr="00A43A95">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CCE9D0E" w14:textId="77777777" w:rsidR="00235DBA" w:rsidRPr="0036523A" w:rsidRDefault="00235DBA" w:rsidP="0036523A">
            <w:pPr>
              <w:jc w:val="both"/>
              <w:rPr>
                <w:rFonts w:eastAsia="Times New Roman"/>
                <w:b/>
                <w:bCs/>
              </w:rPr>
            </w:pPr>
            <w:r w:rsidRPr="0036523A">
              <w:rPr>
                <w:rFonts w:eastAsia="Times New Roman"/>
                <w:b/>
                <w:bCs/>
              </w:rPr>
              <w:t>C3a</w:t>
            </w:r>
          </w:p>
        </w:tc>
        <w:tc>
          <w:tcPr>
            <w:tcW w:w="1213" w:type="dxa"/>
            <w:tcBorders>
              <w:top w:val="nil"/>
              <w:left w:val="nil"/>
              <w:bottom w:val="single" w:sz="4" w:space="0" w:color="auto"/>
              <w:right w:val="single" w:sz="4" w:space="0" w:color="auto"/>
            </w:tcBorders>
            <w:shd w:val="clear" w:color="auto" w:fill="auto"/>
            <w:noWrap/>
            <w:vAlign w:val="bottom"/>
            <w:hideMark/>
          </w:tcPr>
          <w:p w14:paraId="3D6BF495" w14:textId="77777777" w:rsidR="00235DBA" w:rsidRPr="0036523A" w:rsidRDefault="00235DBA" w:rsidP="0036523A">
            <w:pPr>
              <w:jc w:val="both"/>
              <w:rPr>
                <w:rFonts w:eastAsia="Times New Roman"/>
              </w:rPr>
            </w:pPr>
            <w:r w:rsidRPr="0036523A">
              <w:rPr>
                <w:rFonts w:eastAsia="Times New Roman"/>
              </w:rPr>
              <w:t>1124</w:t>
            </w:r>
          </w:p>
        </w:tc>
        <w:tc>
          <w:tcPr>
            <w:tcW w:w="1260" w:type="dxa"/>
            <w:tcBorders>
              <w:top w:val="nil"/>
              <w:left w:val="nil"/>
              <w:bottom w:val="single" w:sz="4" w:space="0" w:color="auto"/>
              <w:right w:val="single" w:sz="4" w:space="0" w:color="auto"/>
            </w:tcBorders>
            <w:shd w:val="clear" w:color="auto" w:fill="auto"/>
            <w:noWrap/>
            <w:vAlign w:val="bottom"/>
            <w:hideMark/>
          </w:tcPr>
          <w:p w14:paraId="7192D171" w14:textId="77777777" w:rsidR="00235DBA" w:rsidRPr="0036523A" w:rsidRDefault="00235DBA" w:rsidP="0036523A">
            <w:pPr>
              <w:jc w:val="both"/>
              <w:rPr>
                <w:rFonts w:eastAsia="Times New Roman"/>
              </w:rPr>
            </w:pPr>
            <w:r w:rsidRPr="0036523A">
              <w:rPr>
                <w:rFonts w:eastAsia="Times New Roman"/>
              </w:rPr>
              <w:t>1284</w:t>
            </w:r>
          </w:p>
        </w:tc>
        <w:tc>
          <w:tcPr>
            <w:tcW w:w="1350" w:type="dxa"/>
            <w:tcBorders>
              <w:top w:val="nil"/>
              <w:left w:val="nil"/>
              <w:bottom w:val="single" w:sz="4" w:space="0" w:color="auto"/>
              <w:right w:val="single" w:sz="4" w:space="0" w:color="auto"/>
            </w:tcBorders>
            <w:shd w:val="clear" w:color="auto" w:fill="auto"/>
            <w:noWrap/>
            <w:vAlign w:val="bottom"/>
            <w:hideMark/>
          </w:tcPr>
          <w:p w14:paraId="2879C9AC" w14:textId="77777777" w:rsidR="00235DBA" w:rsidRPr="0036523A" w:rsidRDefault="00235DBA" w:rsidP="0036523A">
            <w:pPr>
              <w:jc w:val="both"/>
              <w:rPr>
                <w:rFonts w:eastAsia="Times New Roman"/>
              </w:rPr>
            </w:pPr>
            <w:r w:rsidRPr="0036523A">
              <w:rPr>
                <w:rFonts w:eastAsia="Times New Roman"/>
              </w:rPr>
              <w:t>384</w:t>
            </w:r>
          </w:p>
        </w:tc>
        <w:tc>
          <w:tcPr>
            <w:tcW w:w="1620" w:type="dxa"/>
            <w:tcBorders>
              <w:top w:val="nil"/>
              <w:left w:val="nil"/>
              <w:bottom w:val="single" w:sz="4" w:space="0" w:color="auto"/>
              <w:right w:val="single" w:sz="4" w:space="0" w:color="auto"/>
            </w:tcBorders>
            <w:shd w:val="clear" w:color="auto" w:fill="auto"/>
            <w:noWrap/>
            <w:vAlign w:val="bottom"/>
            <w:hideMark/>
          </w:tcPr>
          <w:p w14:paraId="633A9B6E" w14:textId="77777777" w:rsidR="00235DBA" w:rsidRPr="0036523A" w:rsidRDefault="00235DBA" w:rsidP="0036523A">
            <w:pPr>
              <w:jc w:val="both"/>
              <w:rPr>
                <w:rFonts w:eastAsia="Times New Roman"/>
              </w:rPr>
            </w:pPr>
            <w:r w:rsidRPr="0036523A">
              <w:rPr>
                <w:rFonts w:eastAsia="Times New Roman"/>
              </w:rPr>
              <w:t>410</w:t>
            </w:r>
          </w:p>
        </w:tc>
      </w:tr>
      <w:tr w:rsidR="00235DBA" w:rsidRPr="0036523A" w14:paraId="5734F01B" w14:textId="77777777" w:rsidTr="00A43A95">
        <w:trPr>
          <w:trHeight w:val="512"/>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68D087A" w14:textId="77777777" w:rsidR="00235DBA" w:rsidRPr="0036523A" w:rsidRDefault="00235DBA" w:rsidP="0036523A">
            <w:pPr>
              <w:jc w:val="both"/>
              <w:rPr>
                <w:rFonts w:eastAsia="Times New Roman"/>
                <w:b/>
                <w:bCs/>
              </w:rPr>
            </w:pPr>
            <w:r w:rsidRPr="0036523A">
              <w:rPr>
                <w:rFonts w:eastAsia="Times New Roman"/>
                <w:b/>
                <w:bCs/>
              </w:rPr>
              <w:t>i-Treg</w:t>
            </w:r>
          </w:p>
        </w:tc>
        <w:tc>
          <w:tcPr>
            <w:tcW w:w="1213" w:type="dxa"/>
            <w:tcBorders>
              <w:top w:val="nil"/>
              <w:left w:val="nil"/>
              <w:bottom w:val="single" w:sz="4" w:space="0" w:color="auto"/>
              <w:right w:val="single" w:sz="4" w:space="0" w:color="auto"/>
            </w:tcBorders>
            <w:shd w:val="clear" w:color="auto" w:fill="auto"/>
            <w:noWrap/>
            <w:vAlign w:val="bottom"/>
            <w:hideMark/>
          </w:tcPr>
          <w:p w14:paraId="0B8AF376" w14:textId="77777777" w:rsidR="00235DBA" w:rsidRPr="0036523A" w:rsidRDefault="00235DBA" w:rsidP="0036523A">
            <w:pPr>
              <w:jc w:val="both"/>
              <w:rPr>
                <w:rFonts w:eastAsia="Times New Roman"/>
              </w:rPr>
            </w:pPr>
            <w:r w:rsidRPr="0036523A">
              <w:rPr>
                <w:rFonts w:eastAsia="Times New Roman"/>
              </w:rPr>
              <w:t>4.66</w:t>
            </w:r>
          </w:p>
        </w:tc>
        <w:tc>
          <w:tcPr>
            <w:tcW w:w="1260" w:type="dxa"/>
            <w:tcBorders>
              <w:top w:val="nil"/>
              <w:left w:val="nil"/>
              <w:bottom w:val="single" w:sz="4" w:space="0" w:color="auto"/>
              <w:right w:val="single" w:sz="4" w:space="0" w:color="auto"/>
            </w:tcBorders>
            <w:shd w:val="clear" w:color="auto" w:fill="auto"/>
            <w:noWrap/>
            <w:vAlign w:val="bottom"/>
            <w:hideMark/>
          </w:tcPr>
          <w:p w14:paraId="6CAA9FC0" w14:textId="77777777" w:rsidR="00235DBA" w:rsidRPr="0036523A" w:rsidRDefault="00235DBA" w:rsidP="0036523A">
            <w:pPr>
              <w:jc w:val="both"/>
              <w:rPr>
                <w:rFonts w:eastAsia="Times New Roman"/>
              </w:rPr>
            </w:pPr>
            <w:r w:rsidRPr="0036523A">
              <w:rPr>
                <w:rFonts w:eastAsia="Times New Roman"/>
              </w:rPr>
              <w:t>2.94</w:t>
            </w:r>
          </w:p>
        </w:tc>
        <w:tc>
          <w:tcPr>
            <w:tcW w:w="1350" w:type="dxa"/>
            <w:tcBorders>
              <w:top w:val="nil"/>
              <w:left w:val="nil"/>
              <w:bottom w:val="single" w:sz="4" w:space="0" w:color="auto"/>
              <w:right w:val="single" w:sz="4" w:space="0" w:color="auto"/>
            </w:tcBorders>
            <w:shd w:val="clear" w:color="auto" w:fill="auto"/>
            <w:noWrap/>
            <w:vAlign w:val="bottom"/>
            <w:hideMark/>
          </w:tcPr>
          <w:p w14:paraId="68BF7731" w14:textId="77777777" w:rsidR="00235DBA" w:rsidRPr="0036523A" w:rsidRDefault="00235DBA" w:rsidP="0036523A">
            <w:pPr>
              <w:jc w:val="both"/>
              <w:rPr>
                <w:rFonts w:eastAsia="Times New Roman"/>
              </w:rPr>
            </w:pPr>
            <w:r w:rsidRPr="0036523A">
              <w:rPr>
                <w:rFonts w:eastAsia="Times New Roman"/>
              </w:rPr>
              <w:t>3.02</w:t>
            </w:r>
          </w:p>
        </w:tc>
        <w:tc>
          <w:tcPr>
            <w:tcW w:w="1620" w:type="dxa"/>
            <w:tcBorders>
              <w:top w:val="nil"/>
              <w:left w:val="nil"/>
              <w:bottom w:val="single" w:sz="4" w:space="0" w:color="auto"/>
              <w:right w:val="single" w:sz="4" w:space="0" w:color="auto"/>
            </w:tcBorders>
            <w:shd w:val="clear" w:color="auto" w:fill="auto"/>
            <w:noWrap/>
            <w:vAlign w:val="bottom"/>
            <w:hideMark/>
          </w:tcPr>
          <w:p w14:paraId="144C891E" w14:textId="77777777" w:rsidR="00235DBA" w:rsidRPr="0036523A" w:rsidRDefault="00235DBA" w:rsidP="0036523A">
            <w:pPr>
              <w:jc w:val="both"/>
              <w:rPr>
                <w:rFonts w:eastAsia="Times New Roman"/>
              </w:rPr>
            </w:pPr>
            <w:r w:rsidRPr="0036523A">
              <w:rPr>
                <w:rFonts w:eastAsia="Times New Roman"/>
              </w:rPr>
              <w:t>4.16</w:t>
            </w:r>
          </w:p>
        </w:tc>
      </w:tr>
      <w:tr w:rsidR="00235DBA" w:rsidRPr="0036523A" w14:paraId="1B0061A4" w14:textId="77777777" w:rsidTr="00A43A95">
        <w:trPr>
          <w:trHeight w:val="315"/>
        </w:trPr>
        <w:tc>
          <w:tcPr>
            <w:tcW w:w="1240" w:type="dxa"/>
            <w:tcBorders>
              <w:top w:val="nil"/>
              <w:left w:val="single" w:sz="4" w:space="0" w:color="auto"/>
              <w:bottom w:val="nil"/>
              <w:right w:val="single" w:sz="4" w:space="0" w:color="auto"/>
            </w:tcBorders>
            <w:shd w:val="clear" w:color="auto" w:fill="auto"/>
            <w:noWrap/>
            <w:vAlign w:val="bottom"/>
            <w:hideMark/>
          </w:tcPr>
          <w:p w14:paraId="24EC1C18" w14:textId="77777777" w:rsidR="00235DBA" w:rsidRPr="0036523A" w:rsidRDefault="00235DBA" w:rsidP="0036523A">
            <w:pPr>
              <w:jc w:val="both"/>
              <w:rPr>
                <w:rFonts w:eastAsia="Times New Roman"/>
                <w:b/>
                <w:bCs/>
              </w:rPr>
            </w:pPr>
            <w:r w:rsidRPr="0036523A">
              <w:rPr>
                <w:rFonts w:eastAsia="Times New Roman"/>
                <w:b/>
                <w:bCs/>
              </w:rPr>
              <w:t>t-Treg</w:t>
            </w:r>
          </w:p>
        </w:tc>
        <w:tc>
          <w:tcPr>
            <w:tcW w:w="1213" w:type="dxa"/>
            <w:tcBorders>
              <w:top w:val="nil"/>
              <w:left w:val="nil"/>
              <w:bottom w:val="nil"/>
              <w:right w:val="single" w:sz="4" w:space="0" w:color="auto"/>
            </w:tcBorders>
            <w:shd w:val="clear" w:color="auto" w:fill="auto"/>
            <w:noWrap/>
            <w:vAlign w:val="bottom"/>
            <w:hideMark/>
          </w:tcPr>
          <w:p w14:paraId="10FE87DC" w14:textId="77777777" w:rsidR="00235DBA" w:rsidRPr="0036523A" w:rsidRDefault="00235DBA" w:rsidP="0036523A">
            <w:pPr>
              <w:jc w:val="both"/>
              <w:rPr>
                <w:rFonts w:eastAsia="Times New Roman"/>
              </w:rPr>
            </w:pPr>
            <w:r w:rsidRPr="0036523A">
              <w:rPr>
                <w:rFonts w:eastAsia="Times New Roman"/>
              </w:rPr>
              <w:t>4.25</w:t>
            </w:r>
          </w:p>
        </w:tc>
        <w:tc>
          <w:tcPr>
            <w:tcW w:w="1260" w:type="dxa"/>
            <w:tcBorders>
              <w:top w:val="nil"/>
              <w:left w:val="nil"/>
              <w:bottom w:val="nil"/>
              <w:right w:val="single" w:sz="4" w:space="0" w:color="auto"/>
            </w:tcBorders>
            <w:shd w:val="clear" w:color="auto" w:fill="auto"/>
            <w:noWrap/>
            <w:vAlign w:val="bottom"/>
            <w:hideMark/>
          </w:tcPr>
          <w:p w14:paraId="0FAEACCF" w14:textId="77777777" w:rsidR="00235DBA" w:rsidRPr="0036523A" w:rsidRDefault="00235DBA" w:rsidP="0036523A">
            <w:pPr>
              <w:jc w:val="both"/>
              <w:rPr>
                <w:rFonts w:eastAsia="Times New Roman"/>
              </w:rPr>
            </w:pPr>
            <w:r w:rsidRPr="0036523A">
              <w:rPr>
                <w:rFonts w:eastAsia="Times New Roman"/>
              </w:rPr>
              <w:t>2.44</w:t>
            </w:r>
          </w:p>
        </w:tc>
        <w:tc>
          <w:tcPr>
            <w:tcW w:w="1350" w:type="dxa"/>
            <w:tcBorders>
              <w:top w:val="nil"/>
              <w:left w:val="nil"/>
              <w:bottom w:val="nil"/>
              <w:right w:val="single" w:sz="4" w:space="0" w:color="auto"/>
            </w:tcBorders>
            <w:shd w:val="clear" w:color="auto" w:fill="auto"/>
            <w:noWrap/>
            <w:vAlign w:val="bottom"/>
            <w:hideMark/>
          </w:tcPr>
          <w:p w14:paraId="3B284948" w14:textId="77777777" w:rsidR="00235DBA" w:rsidRPr="0036523A" w:rsidRDefault="00235DBA" w:rsidP="0036523A">
            <w:pPr>
              <w:jc w:val="both"/>
              <w:rPr>
                <w:rFonts w:eastAsia="Times New Roman"/>
              </w:rPr>
            </w:pPr>
            <w:r w:rsidRPr="0036523A">
              <w:rPr>
                <w:rFonts w:eastAsia="Times New Roman"/>
              </w:rPr>
              <w:t>2.98</w:t>
            </w:r>
          </w:p>
        </w:tc>
        <w:tc>
          <w:tcPr>
            <w:tcW w:w="1620" w:type="dxa"/>
            <w:tcBorders>
              <w:top w:val="nil"/>
              <w:left w:val="nil"/>
              <w:bottom w:val="nil"/>
              <w:right w:val="single" w:sz="4" w:space="0" w:color="auto"/>
            </w:tcBorders>
            <w:shd w:val="clear" w:color="auto" w:fill="auto"/>
            <w:noWrap/>
            <w:vAlign w:val="bottom"/>
            <w:hideMark/>
          </w:tcPr>
          <w:p w14:paraId="13901EF5" w14:textId="77777777" w:rsidR="00235DBA" w:rsidRPr="0036523A" w:rsidRDefault="00235DBA" w:rsidP="0036523A">
            <w:pPr>
              <w:jc w:val="both"/>
              <w:rPr>
                <w:rFonts w:eastAsia="Times New Roman"/>
              </w:rPr>
            </w:pPr>
            <w:r w:rsidRPr="0036523A">
              <w:rPr>
                <w:rFonts w:eastAsia="Times New Roman"/>
              </w:rPr>
              <w:t>3.86</w:t>
            </w:r>
          </w:p>
        </w:tc>
      </w:tr>
      <w:tr w:rsidR="00235DBA" w:rsidRPr="0036523A" w14:paraId="044E580A" w14:textId="77777777" w:rsidTr="00A43A95">
        <w:trPr>
          <w:trHeight w:val="315"/>
        </w:trPr>
        <w:tc>
          <w:tcPr>
            <w:tcW w:w="1240" w:type="dxa"/>
            <w:tcBorders>
              <w:top w:val="nil"/>
              <w:left w:val="single" w:sz="4" w:space="0" w:color="auto"/>
              <w:bottom w:val="single" w:sz="4" w:space="0" w:color="auto"/>
              <w:right w:val="single" w:sz="4" w:space="0" w:color="auto"/>
            </w:tcBorders>
            <w:shd w:val="clear" w:color="auto" w:fill="auto"/>
            <w:noWrap/>
            <w:vAlign w:val="bottom"/>
          </w:tcPr>
          <w:p w14:paraId="78AE92BD" w14:textId="77777777" w:rsidR="00235DBA" w:rsidRPr="0036523A" w:rsidRDefault="00235DBA" w:rsidP="0036523A">
            <w:pPr>
              <w:jc w:val="both"/>
              <w:rPr>
                <w:rFonts w:eastAsia="Times New Roman"/>
                <w:b/>
                <w:bCs/>
              </w:rPr>
            </w:pPr>
          </w:p>
        </w:tc>
        <w:tc>
          <w:tcPr>
            <w:tcW w:w="1213" w:type="dxa"/>
            <w:tcBorders>
              <w:top w:val="nil"/>
              <w:left w:val="nil"/>
              <w:bottom w:val="single" w:sz="4" w:space="0" w:color="auto"/>
              <w:right w:val="single" w:sz="4" w:space="0" w:color="auto"/>
            </w:tcBorders>
            <w:shd w:val="clear" w:color="auto" w:fill="auto"/>
            <w:noWrap/>
            <w:vAlign w:val="bottom"/>
          </w:tcPr>
          <w:p w14:paraId="5C404569" w14:textId="77777777" w:rsidR="00235DBA" w:rsidRPr="0036523A" w:rsidRDefault="00235DBA" w:rsidP="0036523A">
            <w:pPr>
              <w:jc w:val="both"/>
              <w:rPr>
                <w:rFonts w:eastAsia="Times New Roman"/>
              </w:rPr>
            </w:pPr>
          </w:p>
        </w:tc>
        <w:tc>
          <w:tcPr>
            <w:tcW w:w="1260" w:type="dxa"/>
            <w:tcBorders>
              <w:top w:val="nil"/>
              <w:left w:val="nil"/>
              <w:bottom w:val="single" w:sz="4" w:space="0" w:color="auto"/>
              <w:right w:val="single" w:sz="4" w:space="0" w:color="auto"/>
            </w:tcBorders>
            <w:shd w:val="clear" w:color="auto" w:fill="auto"/>
            <w:noWrap/>
            <w:vAlign w:val="bottom"/>
          </w:tcPr>
          <w:p w14:paraId="28B3A496" w14:textId="77777777" w:rsidR="00235DBA" w:rsidRPr="0036523A" w:rsidRDefault="00235DBA" w:rsidP="0036523A">
            <w:pPr>
              <w:jc w:val="both"/>
              <w:rPr>
                <w:rFonts w:eastAsia="Times New Roman"/>
              </w:rPr>
            </w:pPr>
          </w:p>
        </w:tc>
        <w:tc>
          <w:tcPr>
            <w:tcW w:w="1350" w:type="dxa"/>
            <w:tcBorders>
              <w:top w:val="nil"/>
              <w:left w:val="nil"/>
              <w:bottom w:val="single" w:sz="4" w:space="0" w:color="auto"/>
              <w:right w:val="single" w:sz="4" w:space="0" w:color="auto"/>
            </w:tcBorders>
            <w:shd w:val="clear" w:color="auto" w:fill="auto"/>
            <w:noWrap/>
            <w:vAlign w:val="bottom"/>
          </w:tcPr>
          <w:p w14:paraId="0EBDE75C" w14:textId="77777777" w:rsidR="00235DBA" w:rsidRPr="0036523A" w:rsidRDefault="00235DBA" w:rsidP="0036523A">
            <w:pPr>
              <w:jc w:val="both"/>
              <w:rPr>
                <w:rFonts w:eastAsia="Times New Roman"/>
              </w:rPr>
            </w:pPr>
          </w:p>
        </w:tc>
        <w:tc>
          <w:tcPr>
            <w:tcW w:w="1620" w:type="dxa"/>
            <w:tcBorders>
              <w:top w:val="nil"/>
              <w:left w:val="nil"/>
              <w:bottom w:val="single" w:sz="4" w:space="0" w:color="auto"/>
              <w:right w:val="single" w:sz="4" w:space="0" w:color="auto"/>
            </w:tcBorders>
            <w:shd w:val="clear" w:color="auto" w:fill="auto"/>
            <w:noWrap/>
            <w:vAlign w:val="bottom"/>
          </w:tcPr>
          <w:p w14:paraId="2661783C" w14:textId="77777777" w:rsidR="00235DBA" w:rsidRPr="0036523A" w:rsidRDefault="00235DBA" w:rsidP="0036523A">
            <w:pPr>
              <w:jc w:val="both"/>
              <w:rPr>
                <w:rFonts w:eastAsia="Times New Roman"/>
              </w:rPr>
            </w:pPr>
          </w:p>
        </w:tc>
      </w:tr>
    </w:tbl>
    <w:p w14:paraId="57B06792" w14:textId="19E342B3" w:rsidR="00D90E29" w:rsidRPr="0036523A" w:rsidRDefault="00D90E29" w:rsidP="0036523A">
      <w:pPr>
        <w:pStyle w:val="BodyA"/>
        <w:jc w:val="both"/>
        <w:rPr>
          <w:rStyle w:val="None"/>
          <w:rFonts w:ascii="Times New Roman" w:hAnsi="Times New Roman" w:cs="Times New Roman"/>
          <w:sz w:val="24"/>
          <w:szCs w:val="24"/>
        </w:rPr>
      </w:pPr>
    </w:p>
    <w:p w14:paraId="76DC2692" w14:textId="4C076864" w:rsidR="00185232" w:rsidRPr="00A43A95" w:rsidRDefault="00D90E29" w:rsidP="00466750">
      <w:pPr>
        <w:jc w:val="both"/>
        <w:rPr>
          <w:rFonts w:eastAsia="Times New Roman"/>
          <w:sz w:val="20"/>
          <w:szCs w:val="20"/>
        </w:rPr>
      </w:pPr>
      <w:r w:rsidRPr="00A43A95">
        <w:rPr>
          <w:rFonts w:eastAsia="Times New Roman"/>
          <w:b/>
        </w:rPr>
        <w:t>Table 3</w:t>
      </w:r>
      <w:r w:rsidRPr="00A43A95">
        <w:rPr>
          <w:rFonts w:eastAsia="Times New Roman"/>
          <w:sz w:val="20"/>
          <w:szCs w:val="20"/>
        </w:rPr>
        <w:t>. CIRS biomarker test values for different stages of Lyme disease. All data from private practice of RS.</w:t>
      </w:r>
    </w:p>
    <w:p w14:paraId="533C9793" w14:textId="77777777" w:rsidR="00D90E29" w:rsidRDefault="00D90E29" w:rsidP="00466750">
      <w:pPr>
        <w:jc w:val="both"/>
      </w:pPr>
    </w:p>
    <w:p w14:paraId="69C35D64" w14:textId="77777777" w:rsidR="00A43A95" w:rsidRDefault="00A43A95" w:rsidP="00466750">
      <w:pPr>
        <w:pStyle w:val="BodyA"/>
        <w:jc w:val="both"/>
        <w:rPr>
          <w:rStyle w:val="None"/>
          <w:rFonts w:ascii="Times New Roman" w:hAnsi="Times New Roman"/>
          <w:sz w:val="24"/>
          <w:szCs w:val="24"/>
        </w:rPr>
        <w:sectPr w:rsidR="00A43A95" w:rsidSect="0036523A">
          <w:type w:val="continuous"/>
          <w:pgSz w:w="12240" w:h="15840"/>
          <w:pgMar w:top="1260" w:right="1440" w:bottom="1440" w:left="1440" w:header="720" w:footer="576" w:gutter="0"/>
          <w:cols w:space="720"/>
          <w:titlePg/>
          <w:docGrid w:linePitch="326"/>
        </w:sectPr>
      </w:pPr>
    </w:p>
    <w:p w14:paraId="76C09F81" w14:textId="1B10ACD6" w:rsidR="00185232" w:rsidRDefault="006074F5" w:rsidP="00466750">
      <w:pPr>
        <w:pStyle w:val="BodyA"/>
        <w:jc w:val="both"/>
      </w:pPr>
      <w:r>
        <w:rPr>
          <w:rStyle w:val="None"/>
          <w:rFonts w:ascii="Times New Roman" w:hAnsi="Times New Roman"/>
          <w:sz w:val="24"/>
          <w:szCs w:val="24"/>
        </w:rPr>
        <w:t>The above table</w:t>
      </w:r>
      <w:r w:rsidR="00D90E29">
        <w:rPr>
          <w:rStyle w:val="None"/>
          <w:rFonts w:ascii="Times New Roman" w:hAnsi="Times New Roman"/>
          <w:sz w:val="24"/>
          <w:szCs w:val="24"/>
        </w:rPr>
        <w:t xml:space="preserve"> </w:t>
      </w:r>
      <w:r>
        <w:rPr>
          <w:rStyle w:val="None"/>
          <w:rFonts w:ascii="Times New Roman" w:hAnsi="Times New Roman"/>
          <w:sz w:val="24"/>
          <w:szCs w:val="24"/>
        </w:rPr>
        <w:t xml:space="preserve">demonstrates biomarkers that measure innate immune system inflammation and immune function. At baseline, the patients with Lyme disease have perturbations in all five of these biomarkers. The proteomic abnormalities persist after antibiotic treatment excepting </w:t>
      </w:r>
      <w:r w:rsidR="001159E0">
        <w:rPr>
          <w:rStyle w:val="None"/>
          <w:rFonts w:ascii="Times New Roman" w:hAnsi="Times New Roman"/>
          <w:sz w:val="24"/>
          <w:szCs w:val="24"/>
        </w:rPr>
        <w:t xml:space="preserve">C3a </w:t>
      </w:r>
      <w:r>
        <w:rPr>
          <w:rStyle w:val="None"/>
          <w:rFonts w:ascii="Times New Roman" w:hAnsi="Times New Roman"/>
          <w:sz w:val="24"/>
          <w:szCs w:val="24"/>
        </w:rPr>
        <w:t xml:space="preserve">which decreases to normal levels. One biomarker </w:t>
      </w:r>
      <w:r w:rsidR="00625BCD">
        <w:rPr>
          <w:rStyle w:val="None"/>
          <w:rFonts w:ascii="Times New Roman" w:hAnsi="Times New Roman"/>
          <w:sz w:val="24"/>
          <w:szCs w:val="24"/>
        </w:rPr>
        <w:t>(</w:t>
      </w:r>
      <w:r w:rsidR="00DA5D11" w:rsidRPr="00E55ECD">
        <w:rPr>
          <w:rStyle w:val="None"/>
          <w:rFonts w:ascii="Times New Roman" w:hAnsi="Times New Roman" w:cs="Times New Roman"/>
          <w:sz w:val="24"/>
          <w:szCs w:val="24"/>
        </w:rPr>
        <w:t>TGF-beta1</w:t>
      </w:r>
      <w:r w:rsidR="00625BCD">
        <w:rPr>
          <w:rStyle w:val="None"/>
          <w:rFonts w:ascii="Times New Roman" w:hAnsi="Times New Roman"/>
          <w:sz w:val="24"/>
          <w:szCs w:val="24"/>
        </w:rPr>
        <w:t>)</w:t>
      </w:r>
      <w:r>
        <w:rPr>
          <w:rStyle w:val="None"/>
          <w:rFonts w:ascii="Times New Roman" w:hAnsi="Times New Roman"/>
          <w:sz w:val="24"/>
          <w:szCs w:val="24"/>
        </w:rPr>
        <w:t xml:space="preserve"> worsens after antibiotics. Only after CIRS treatment do all five of these biomarkers approximate the levels found in controls. This finding has three significant implications. First, post-treatment Lyme syndrome is a demonstrable disease entity. Two, post-treatment Lyme syndrome is best characterized as a chronic inflammatory syndrome with elevations </w:t>
      </w:r>
      <w:r w:rsidR="001159E0">
        <w:rPr>
          <w:rStyle w:val="None"/>
          <w:rFonts w:ascii="Times New Roman" w:hAnsi="Times New Roman"/>
          <w:sz w:val="24"/>
          <w:szCs w:val="24"/>
        </w:rPr>
        <w:t xml:space="preserve">of </w:t>
      </w:r>
      <w:r>
        <w:rPr>
          <w:rStyle w:val="None"/>
          <w:rFonts w:ascii="Times New Roman" w:hAnsi="Times New Roman"/>
          <w:sz w:val="24"/>
          <w:szCs w:val="24"/>
        </w:rPr>
        <w:t xml:space="preserve">innate immune system biomarkers consistent with inflammation. Third, the use of antibiotics followed by the CIRS protocol can restore patients with this condition, leading to clinical and objective metabolic improvement. </w:t>
      </w:r>
    </w:p>
    <w:p w14:paraId="56B40A6D" w14:textId="71ED05DB" w:rsidR="00185232" w:rsidRDefault="006074F5" w:rsidP="00466750">
      <w:pPr>
        <w:pStyle w:val="BodyA"/>
        <w:jc w:val="both"/>
      </w:pPr>
      <w:r>
        <w:rPr>
          <w:rStyle w:val="None"/>
          <w:rFonts w:ascii="Times New Roman" w:hAnsi="Times New Roman"/>
          <w:sz w:val="24"/>
          <w:szCs w:val="24"/>
        </w:rPr>
        <w:t xml:space="preserve">It must be noted that transmission of </w:t>
      </w:r>
      <w:r w:rsidRPr="002D3A6E">
        <w:rPr>
          <w:rStyle w:val="None"/>
          <w:rFonts w:ascii="Times New Roman" w:hAnsi="Times New Roman"/>
          <w:i/>
          <w:sz w:val="24"/>
          <w:szCs w:val="24"/>
        </w:rPr>
        <w:t>B. burgdorferi</w:t>
      </w:r>
      <w:r>
        <w:rPr>
          <w:rStyle w:val="None"/>
          <w:rFonts w:ascii="Times New Roman" w:hAnsi="Times New Roman"/>
          <w:sz w:val="24"/>
          <w:szCs w:val="24"/>
        </w:rPr>
        <w:t xml:space="preserve"> from person to person, or by nursing</w:t>
      </w:r>
      <w:r w:rsidR="001159E0">
        <w:rPr>
          <w:rStyle w:val="None"/>
          <w:rFonts w:ascii="Times New Roman" w:hAnsi="Times New Roman"/>
          <w:sz w:val="24"/>
          <w:szCs w:val="24"/>
        </w:rPr>
        <w:t>,</w:t>
      </w:r>
      <w:r>
        <w:rPr>
          <w:rStyle w:val="None"/>
          <w:rFonts w:ascii="Times New Roman" w:hAnsi="Times New Roman"/>
          <w:sz w:val="24"/>
          <w:szCs w:val="24"/>
        </w:rPr>
        <w:t xml:space="preserve"> has been suggested but never confirmed. Further, vectors other than ticks, including flies and mosquitoes, have been suggested to be vectors of </w:t>
      </w:r>
      <w:r w:rsidRPr="002D3A6E">
        <w:rPr>
          <w:rStyle w:val="None"/>
          <w:rFonts w:ascii="Times New Roman" w:hAnsi="Times New Roman"/>
          <w:i/>
          <w:sz w:val="24"/>
          <w:szCs w:val="24"/>
        </w:rPr>
        <w:t>Borrelia</w:t>
      </w:r>
      <w:r>
        <w:rPr>
          <w:rStyle w:val="None"/>
          <w:rFonts w:ascii="Times New Roman" w:hAnsi="Times New Roman"/>
          <w:sz w:val="24"/>
          <w:szCs w:val="24"/>
        </w:rPr>
        <w:t xml:space="preserve">. </w:t>
      </w:r>
      <w:r w:rsidR="00625BCD">
        <w:rPr>
          <w:rStyle w:val="None"/>
          <w:rFonts w:ascii="Times New Roman" w:hAnsi="Times New Roman"/>
          <w:sz w:val="24"/>
          <w:szCs w:val="24"/>
        </w:rPr>
        <w:t>As of the writing of this statement, n</w:t>
      </w:r>
      <w:r>
        <w:rPr>
          <w:rStyle w:val="None"/>
          <w:rFonts w:ascii="Times New Roman" w:hAnsi="Times New Roman"/>
          <w:sz w:val="24"/>
          <w:szCs w:val="24"/>
        </w:rPr>
        <w:t>o confirmation of this speculation has been produced.</w:t>
      </w:r>
    </w:p>
    <w:p w14:paraId="5400ED75" w14:textId="77777777" w:rsidR="00185232" w:rsidRDefault="00185232" w:rsidP="00466750">
      <w:pPr>
        <w:pStyle w:val="BodyA"/>
        <w:jc w:val="both"/>
      </w:pPr>
    </w:p>
    <w:p w14:paraId="42A296FE" w14:textId="2C225DEF" w:rsidR="00185232" w:rsidRDefault="006074F5" w:rsidP="00466750">
      <w:pPr>
        <w:pStyle w:val="BodyA"/>
        <w:spacing w:after="0"/>
        <w:jc w:val="both"/>
      </w:pPr>
      <w:r>
        <w:rPr>
          <w:rStyle w:val="None"/>
          <w:rFonts w:ascii="Times New Roman" w:hAnsi="Times New Roman"/>
          <w:b/>
          <w:bCs/>
          <w:sz w:val="28"/>
          <w:szCs w:val="28"/>
          <w:lang w:val="it-IT"/>
        </w:rPr>
        <w:t>Section 9</w:t>
      </w:r>
      <w:r w:rsidR="00957ABB">
        <w:rPr>
          <w:rStyle w:val="None"/>
          <w:rFonts w:ascii="Times New Roman" w:hAnsi="Times New Roman"/>
          <w:b/>
          <w:bCs/>
          <w:sz w:val="28"/>
          <w:szCs w:val="28"/>
          <w:lang w:val="it-IT"/>
        </w:rPr>
        <w:t>.</w:t>
      </w:r>
      <w:r>
        <w:rPr>
          <w:rStyle w:val="None"/>
          <w:rFonts w:ascii="Times New Roman" w:hAnsi="Times New Roman"/>
          <w:b/>
          <w:bCs/>
          <w:sz w:val="28"/>
          <w:szCs w:val="28"/>
          <w:lang w:val="it-IT"/>
        </w:rPr>
        <w:t xml:space="preserve"> Chronic ciguatera (CIRS-Ciguatera</w:t>
      </w:r>
      <w:r w:rsidR="00660148">
        <w:rPr>
          <w:rStyle w:val="None"/>
          <w:rFonts w:ascii="Times New Roman" w:hAnsi="Times New Roman"/>
          <w:b/>
          <w:bCs/>
          <w:sz w:val="28"/>
          <w:szCs w:val="28"/>
          <w:lang w:val="it-IT"/>
        </w:rPr>
        <w:t>)</w:t>
      </w:r>
      <w:r>
        <w:rPr>
          <w:rStyle w:val="None"/>
          <w:rFonts w:ascii="Times New Roman" w:hAnsi="Times New Roman"/>
          <w:b/>
          <w:bCs/>
          <w:sz w:val="28"/>
          <w:szCs w:val="28"/>
          <w:lang w:val="it-IT"/>
        </w:rPr>
        <w:t xml:space="preserve"> </w:t>
      </w:r>
    </w:p>
    <w:p w14:paraId="728760EB" w14:textId="77777777" w:rsidR="00185232" w:rsidRDefault="00185232" w:rsidP="00466750">
      <w:pPr>
        <w:pStyle w:val="BodyA"/>
        <w:spacing w:after="0"/>
        <w:jc w:val="both"/>
      </w:pPr>
    </w:p>
    <w:p w14:paraId="4E9DFE9F" w14:textId="0EC39C64" w:rsidR="00185232" w:rsidRDefault="006074F5" w:rsidP="00466750">
      <w:pPr>
        <w:pStyle w:val="BodyA"/>
        <w:jc w:val="both"/>
      </w:pPr>
      <w:r>
        <w:rPr>
          <w:rStyle w:val="None"/>
          <w:rFonts w:ascii="Times New Roman" w:hAnsi="Times New Roman"/>
          <w:sz w:val="24"/>
          <w:szCs w:val="24"/>
        </w:rPr>
        <w:t>Ciguat</w:t>
      </w:r>
      <w:r w:rsidR="00D90E29">
        <w:rPr>
          <w:rStyle w:val="None"/>
          <w:rFonts w:ascii="Times New Roman" w:hAnsi="Times New Roman"/>
          <w:sz w:val="24"/>
          <w:szCs w:val="24"/>
        </w:rPr>
        <w:t>era</w:t>
      </w:r>
      <w:r>
        <w:rPr>
          <w:rStyle w:val="None"/>
          <w:rFonts w:ascii="Times New Roman" w:hAnsi="Times New Roman"/>
          <w:sz w:val="24"/>
          <w:szCs w:val="24"/>
        </w:rPr>
        <w:t>, also known as icthyosarcotoxism, is the most c</w:t>
      </w:r>
      <w:r w:rsidR="00FA4498">
        <w:rPr>
          <w:rStyle w:val="None"/>
          <w:rFonts w:ascii="Times New Roman" w:hAnsi="Times New Roman"/>
          <w:sz w:val="24"/>
          <w:szCs w:val="24"/>
        </w:rPr>
        <w:t>ommon fish-borne illness world-wide</w:t>
      </w:r>
      <w:r>
        <w:rPr>
          <w:rStyle w:val="None"/>
          <w:rFonts w:ascii="Times New Roman" w:hAnsi="Times New Roman"/>
          <w:sz w:val="24"/>
          <w:szCs w:val="24"/>
        </w:rPr>
        <w:t xml:space="preserve"> (1)</w:t>
      </w:r>
      <w:r w:rsidR="00660148">
        <w:rPr>
          <w:rStyle w:val="None"/>
          <w:rFonts w:ascii="Times New Roman" w:hAnsi="Times New Roman"/>
          <w:sz w:val="24"/>
          <w:szCs w:val="24"/>
        </w:rPr>
        <w:t>.</w:t>
      </w:r>
      <w:r>
        <w:rPr>
          <w:rStyle w:val="None"/>
          <w:rFonts w:ascii="Times New Roman" w:hAnsi="Times New Roman"/>
          <w:sz w:val="24"/>
          <w:szCs w:val="24"/>
        </w:rPr>
        <w:t xml:space="preserve"> A precise estimation is difficult to assess due to under-reporting and the limited use of objective diagnostic methods. Predictably, incidence rates vary widely by geography. A survey of 17 Pacific areas found an incidence of 194 per 100,000 people (2)</w:t>
      </w:r>
      <w:r w:rsidR="00660148">
        <w:rPr>
          <w:rStyle w:val="None"/>
          <w:rFonts w:ascii="Times New Roman" w:hAnsi="Times New Roman"/>
          <w:sz w:val="24"/>
          <w:szCs w:val="24"/>
        </w:rPr>
        <w:t>,</w:t>
      </w:r>
      <w:r>
        <w:rPr>
          <w:rStyle w:val="None"/>
          <w:rFonts w:ascii="Times New Roman" w:hAnsi="Times New Roman"/>
          <w:sz w:val="24"/>
          <w:szCs w:val="24"/>
        </w:rPr>
        <w:t xml:space="preserve"> while another study focused on the mainland </w:t>
      </w:r>
      <w:r w:rsidR="00660148">
        <w:rPr>
          <w:rStyle w:val="None"/>
          <w:rFonts w:ascii="Times New Roman" w:hAnsi="Times New Roman"/>
          <w:sz w:val="24"/>
          <w:szCs w:val="24"/>
        </w:rPr>
        <w:t xml:space="preserve">United States </w:t>
      </w:r>
      <w:r>
        <w:rPr>
          <w:rStyle w:val="None"/>
          <w:rFonts w:ascii="Times New Roman" w:hAnsi="Times New Roman"/>
          <w:sz w:val="24"/>
          <w:szCs w:val="24"/>
        </w:rPr>
        <w:t>estimated a rate of 5.6 per 100,000 people (3). The biotoxin</w:t>
      </w:r>
      <w:r w:rsidR="00FA4498">
        <w:rPr>
          <w:rStyle w:val="None"/>
          <w:rFonts w:ascii="Times New Roman" w:hAnsi="Times New Roman"/>
          <w:sz w:val="24"/>
          <w:szCs w:val="24"/>
        </w:rPr>
        <w:t>s involved are</w:t>
      </w:r>
      <w:r>
        <w:rPr>
          <w:rStyle w:val="None"/>
          <w:rFonts w:ascii="Times New Roman" w:hAnsi="Times New Roman"/>
          <w:sz w:val="24"/>
          <w:szCs w:val="24"/>
        </w:rPr>
        <w:t xml:space="preserve"> polycyclic ether toxin</w:t>
      </w:r>
      <w:r w:rsidR="00FA4498">
        <w:rPr>
          <w:rStyle w:val="None"/>
          <w:rFonts w:ascii="Times New Roman" w:hAnsi="Times New Roman"/>
          <w:sz w:val="24"/>
          <w:szCs w:val="24"/>
        </w:rPr>
        <w:t>s</w:t>
      </w:r>
      <w:r>
        <w:rPr>
          <w:rStyle w:val="None"/>
          <w:rFonts w:ascii="Times New Roman" w:hAnsi="Times New Roman"/>
          <w:sz w:val="24"/>
          <w:szCs w:val="24"/>
        </w:rPr>
        <w:t xml:space="preserve"> (4) produced by a dinoflagellate, </w:t>
      </w:r>
      <w:r>
        <w:rPr>
          <w:rStyle w:val="None"/>
          <w:rFonts w:ascii="Times New Roman" w:hAnsi="Times New Roman"/>
          <w:i/>
          <w:iCs/>
          <w:sz w:val="24"/>
          <w:szCs w:val="24"/>
          <w:lang w:val="es-ES_tradnl"/>
        </w:rPr>
        <w:t>Gambierdiscus toxicus</w:t>
      </w:r>
      <w:r>
        <w:rPr>
          <w:rStyle w:val="None"/>
          <w:rFonts w:ascii="Times New Roman" w:hAnsi="Times New Roman"/>
          <w:sz w:val="24"/>
          <w:szCs w:val="24"/>
        </w:rPr>
        <w:t>. The ciguatoxin</w:t>
      </w:r>
      <w:r w:rsidR="00FA4498">
        <w:rPr>
          <w:rStyle w:val="None"/>
          <w:rFonts w:ascii="Times New Roman" w:hAnsi="Times New Roman"/>
          <w:sz w:val="24"/>
          <w:szCs w:val="24"/>
        </w:rPr>
        <w:t>s</w:t>
      </w:r>
      <w:r>
        <w:rPr>
          <w:rStyle w:val="None"/>
          <w:rFonts w:ascii="Times New Roman" w:hAnsi="Times New Roman"/>
          <w:sz w:val="24"/>
          <w:szCs w:val="24"/>
        </w:rPr>
        <w:t xml:space="preserve"> can activate voltage gated sodium channels and affect the release of substance P, calcitonin gene related peptide and VIP (5). Ciguatoxin ascends the food chain when it is consumed by smaller reef fish that are consumed by larger fish which are, in turn, eaten by humans. Identification of ci</w:t>
      </w:r>
      <w:r w:rsidR="00185E21">
        <w:rPr>
          <w:rStyle w:val="None"/>
          <w:rFonts w:ascii="Times New Roman" w:hAnsi="Times New Roman"/>
          <w:sz w:val="24"/>
          <w:szCs w:val="24"/>
        </w:rPr>
        <w:t>guatoxin contaminated fish</w:t>
      </w:r>
      <w:r>
        <w:rPr>
          <w:rStyle w:val="None"/>
          <w:rFonts w:ascii="Times New Roman" w:hAnsi="Times New Roman"/>
          <w:sz w:val="24"/>
          <w:szCs w:val="24"/>
        </w:rPr>
        <w:t xml:space="preserve"> can be confirmed by a variety of methods including quantitative PCR assay </w:t>
      </w:r>
      <w:r w:rsidR="00185E21">
        <w:rPr>
          <w:rStyle w:val="None"/>
          <w:rFonts w:ascii="Times New Roman" w:hAnsi="Times New Roman"/>
          <w:sz w:val="24"/>
          <w:szCs w:val="24"/>
        </w:rPr>
        <w:t xml:space="preserve">to detect </w:t>
      </w:r>
      <w:r w:rsidR="00185E21" w:rsidRPr="00185E21">
        <w:rPr>
          <w:rStyle w:val="None"/>
          <w:rFonts w:ascii="Times New Roman" w:hAnsi="Times New Roman"/>
          <w:i/>
          <w:sz w:val="24"/>
          <w:szCs w:val="24"/>
        </w:rPr>
        <w:t>Gambierdiscus</w:t>
      </w:r>
      <w:r w:rsidR="00185E21">
        <w:rPr>
          <w:rStyle w:val="None"/>
          <w:rFonts w:ascii="Times New Roman" w:hAnsi="Times New Roman"/>
          <w:sz w:val="24"/>
          <w:szCs w:val="24"/>
        </w:rPr>
        <w:t xml:space="preserve"> </w:t>
      </w:r>
      <w:r w:rsidR="003B0CD6">
        <w:rPr>
          <w:rStyle w:val="None"/>
          <w:rFonts w:ascii="Times New Roman" w:hAnsi="Times New Roman"/>
          <w:sz w:val="24"/>
          <w:szCs w:val="24"/>
        </w:rPr>
        <w:t xml:space="preserve">using cytotoxicity </w:t>
      </w:r>
      <w:r w:rsidR="00185E21">
        <w:rPr>
          <w:rStyle w:val="None"/>
          <w:rFonts w:ascii="Times New Roman" w:hAnsi="Times New Roman"/>
          <w:sz w:val="24"/>
          <w:szCs w:val="24"/>
        </w:rPr>
        <w:t xml:space="preserve">or </w:t>
      </w:r>
      <w:r>
        <w:rPr>
          <w:rStyle w:val="None"/>
          <w:rFonts w:ascii="Times New Roman" w:hAnsi="Times New Roman"/>
          <w:sz w:val="24"/>
          <w:szCs w:val="24"/>
        </w:rPr>
        <w:t xml:space="preserve">using </w:t>
      </w:r>
      <w:r w:rsidR="00FA4498">
        <w:rPr>
          <w:rStyle w:val="None"/>
          <w:rFonts w:ascii="Times New Roman" w:hAnsi="Times New Roman"/>
          <w:sz w:val="24"/>
          <w:szCs w:val="24"/>
        </w:rPr>
        <w:t>mass spectrometry</w:t>
      </w:r>
      <w:r>
        <w:rPr>
          <w:rStyle w:val="None"/>
          <w:rFonts w:ascii="Times New Roman" w:hAnsi="Times New Roman"/>
          <w:sz w:val="24"/>
          <w:szCs w:val="24"/>
        </w:rPr>
        <w:t xml:space="preserve"> </w:t>
      </w:r>
      <w:r w:rsidR="003B0CD6">
        <w:rPr>
          <w:rStyle w:val="None"/>
          <w:rFonts w:ascii="Times New Roman" w:hAnsi="Times New Roman"/>
          <w:sz w:val="24"/>
          <w:szCs w:val="24"/>
        </w:rPr>
        <w:t xml:space="preserve">to detect toxin </w:t>
      </w:r>
      <w:r>
        <w:rPr>
          <w:rStyle w:val="None"/>
          <w:rFonts w:ascii="Times New Roman" w:hAnsi="Times New Roman"/>
          <w:sz w:val="24"/>
          <w:szCs w:val="24"/>
        </w:rPr>
        <w:t>(6).</w:t>
      </w:r>
      <w:r w:rsidR="00BA289D">
        <w:rPr>
          <w:rStyle w:val="None"/>
          <w:rFonts w:ascii="Times New Roman" w:hAnsi="Times New Roman"/>
          <w:sz w:val="24"/>
          <w:szCs w:val="24"/>
        </w:rPr>
        <w:t xml:space="preserve">  </w:t>
      </w:r>
      <w:r>
        <w:rPr>
          <w:rStyle w:val="None"/>
          <w:rFonts w:ascii="Times New Roman" w:hAnsi="Times New Roman"/>
          <w:sz w:val="24"/>
          <w:szCs w:val="24"/>
        </w:rPr>
        <w:t>After consuming contaminated fish</w:t>
      </w:r>
      <w:r w:rsidR="00BA289D">
        <w:rPr>
          <w:rStyle w:val="None"/>
          <w:rFonts w:ascii="Times New Roman" w:hAnsi="Times New Roman"/>
          <w:sz w:val="24"/>
          <w:szCs w:val="24"/>
        </w:rPr>
        <w:t>, acute ciguatera illness</w:t>
      </w:r>
      <w:r>
        <w:rPr>
          <w:rStyle w:val="None"/>
          <w:rFonts w:ascii="Times New Roman" w:hAnsi="Times New Roman"/>
          <w:sz w:val="24"/>
          <w:szCs w:val="24"/>
        </w:rPr>
        <w:t xml:space="preserve"> may last for a few days to t</w:t>
      </w:r>
      <w:r w:rsidR="00BA289D">
        <w:rPr>
          <w:rStyle w:val="None"/>
          <w:rFonts w:ascii="Times New Roman" w:hAnsi="Times New Roman"/>
          <w:sz w:val="24"/>
          <w:szCs w:val="24"/>
        </w:rPr>
        <w:t>hree</w:t>
      </w:r>
      <w:r>
        <w:rPr>
          <w:rStyle w:val="None"/>
          <w:rFonts w:ascii="Times New Roman" w:hAnsi="Times New Roman"/>
          <w:sz w:val="24"/>
          <w:szCs w:val="24"/>
        </w:rPr>
        <w:t xml:space="preserve"> months. This acute disease is a to</w:t>
      </w:r>
      <w:r w:rsidR="003B0CD6">
        <w:rPr>
          <w:rStyle w:val="None"/>
          <w:rFonts w:ascii="Times New Roman" w:hAnsi="Times New Roman"/>
          <w:sz w:val="24"/>
          <w:szCs w:val="24"/>
        </w:rPr>
        <w:t>xin-mediated syndrome. The half-life</w:t>
      </w:r>
      <w:r>
        <w:rPr>
          <w:rStyle w:val="None"/>
          <w:rFonts w:ascii="Times New Roman" w:hAnsi="Times New Roman"/>
          <w:sz w:val="24"/>
          <w:szCs w:val="24"/>
        </w:rPr>
        <w:t xml:space="preserve"> of ciguatoxin</w:t>
      </w:r>
      <w:r w:rsidR="003B0CD6">
        <w:rPr>
          <w:rStyle w:val="None"/>
          <w:rFonts w:ascii="Times New Roman" w:hAnsi="Times New Roman"/>
          <w:sz w:val="24"/>
          <w:szCs w:val="24"/>
        </w:rPr>
        <w:t xml:space="preserve"> in</w:t>
      </w:r>
      <w:r>
        <w:rPr>
          <w:rStyle w:val="None"/>
          <w:rFonts w:ascii="Times New Roman" w:hAnsi="Times New Roman"/>
          <w:sz w:val="24"/>
          <w:szCs w:val="24"/>
        </w:rPr>
        <w:t xml:space="preserve"> blood and tissues </w:t>
      </w:r>
      <w:r w:rsidR="003B0CD6">
        <w:rPr>
          <w:rStyle w:val="None"/>
          <w:rFonts w:ascii="Times New Roman" w:hAnsi="Times New Roman"/>
          <w:sz w:val="24"/>
          <w:szCs w:val="24"/>
        </w:rPr>
        <w:t>is on the order of days</w:t>
      </w:r>
      <w:r w:rsidR="00FA4498">
        <w:rPr>
          <w:rStyle w:val="None"/>
          <w:rFonts w:ascii="Times New Roman" w:hAnsi="Times New Roman"/>
          <w:sz w:val="24"/>
          <w:szCs w:val="24"/>
        </w:rPr>
        <w:t>.</w:t>
      </w:r>
      <w:r>
        <w:rPr>
          <w:rStyle w:val="None"/>
          <w:rFonts w:ascii="Times New Roman" w:hAnsi="Times New Roman"/>
          <w:sz w:val="24"/>
          <w:szCs w:val="24"/>
        </w:rPr>
        <w:t xml:space="preserve"> Neurologic and gastrointestinal symptoms predominate the clinical presentation. About 90% of patients reported from the Pacific have extremity paresthesia, circumoral paresthesia and reversal of hot/cold sensation. Among the gastrointestinal symptoms </w:t>
      </w:r>
      <w:r w:rsidR="00030ABD">
        <w:rPr>
          <w:rStyle w:val="None"/>
          <w:rFonts w:ascii="Times New Roman" w:hAnsi="Times New Roman"/>
          <w:sz w:val="24"/>
          <w:szCs w:val="24"/>
        </w:rPr>
        <w:t>are</w:t>
      </w:r>
      <w:r>
        <w:rPr>
          <w:rStyle w:val="None"/>
          <w:rFonts w:ascii="Times New Roman" w:hAnsi="Times New Roman"/>
          <w:sz w:val="24"/>
          <w:szCs w:val="24"/>
        </w:rPr>
        <w:t xml:space="preserve"> diarrhea (75%), nausea (45%), vomiting (35%)</w:t>
      </w:r>
      <w:r w:rsidR="00C073C2">
        <w:rPr>
          <w:rStyle w:val="None"/>
          <w:rFonts w:ascii="Times New Roman" w:hAnsi="Times New Roman"/>
          <w:sz w:val="24"/>
          <w:szCs w:val="24"/>
        </w:rPr>
        <w:t>,</w:t>
      </w:r>
      <w:r>
        <w:rPr>
          <w:rStyle w:val="None"/>
          <w:rFonts w:ascii="Times New Roman" w:hAnsi="Times New Roman"/>
          <w:sz w:val="24"/>
          <w:szCs w:val="24"/>
        </w:rPr>
        <w:t xml:space="preserve"> and abdominal pain (45%). Muscle aching (80%), fatigue (60%), itching (45%), headache (60%), sweats (35%)</w:t>
      </w:r>
      <w:r w:rsidR="00C073C2">
        <w:rPr>
          <w:rStyle w:val="None"/>
          <w:rFonts w:ascii="Times New Roman" w:hAnsi="Times New Roman"/>
          <w:sz w:val="24"/>
          <w:szCs w:val="24"/>
        </w:rPr>
        <w:t>,</w:t>
      </w:r>
      <w:r>
        <w:rPr>
          <w:rStyle w:val="None"/>
          <w:rFonts w:ascii="Times New Roman" w:hAnsi="Times New Roman"/>
          <w:sz w:val="24"/>
          <w:szCs w:val="24"/>
        </w:rPr>
        <w:t xml:space="preserve"> and paresis (10%) are als</w:t>
      </w:r>
      <w:r w:rsidR="00BA289D">
        <w:rPr>
          <w:rStyle w:val="None"/>
          <w:rFonts w:ascii="Times New Roman" w:hAnsi="Times New Roman"/>
          <w:sz w:val="24"/>
          <w:szCs w:val="24"/>
        </w:rPr>
        <w:t>o</w:t>
      </w:r>
      <w:r>
        <w:rPr>
          <w:rStyle w:val="None"/>
          <w:rFonts w:ascii="Times New Roman" w:hAnsi="Times New Roman"/>
          <w:sz w:val="24"/>
          <w:szCs w:val="24"/>
        </w:rPr>
        <w:t xml:space="preserve"> reported</w:t>
      </w:r>
      <w:r w:rsidR="00BA289D">
        <w:rPr>
          <w:rStyle w:val="None"/>
          <w:rFonts w:ascii="Times New Roman" w:hAnsi="Times New Roman"/>
          <w:sz w:val="24"/>
          <w:szCs w:val="24"/>
        </w:rPr>
        <w:t xml:space="preserve"> </w:t>
      </w:r>
      <w:r>
        <w:rPr>
          <w:rStyle w:val="None"/>
          <w:rFonts w:ascii="Times New Roman" w:hAnsi="Times New Roman"/>
          <w:sz w:val="24"/>
          <w:szCs w:val="24"/>
        </w:rPr>
        <w:t>(7)</w:t>
      </w:r>
      <w:r w:rsidR="00BA289D">
        <w:rPr>
          <w:rStyle w:val="None"/>
          <w:rFonts w:ascii="Times New Roman" w:hAnsi="Times New Roman"/>
          <w:sz w:val="24"/>
          <w:szCs w:val="24"/>
        </w:rPr>
        <w:t>.</w:t>
      </w:r>
      <w:r>
        <w:rPr>
          <w:rStyle w:val="None"/>
          <w:rFonts w:ascii="Times New Roman" w:hAnsi="Times New Roman"/>
          <w:sz w:val="24"/>
          <w:szCs w:val="24"/>
        </w:rPr>
        <w:t xml:space="preserve"> Identifying acute ciguatera is a clinical diagnosis based on the development of neurological and gastrointestinal symptoms within 24 hours after eating reef fish</w:t>
      </w:r>
      <w:r w:rsidR="00C073C2">
        <w:rPr>
          <w:rStyle w:val="None"/>
          <w:rFonts w:ascii="Times New Roman" w:hAnsi="Times New Roman"/>
          <w:sz w:val="24"/>
          <w:szCs w:val="24"/>
        </w:rPr>
        <w:t>.</w:t>
      </w:r>
      <w:r>
        <w:rPr>
          <w:rStyle w:val="None"/>
          <w:rFonts w:ascii="Times New Roman" w:hAnsi="Times New Roman"/>
          <w:sz w:val="24"/>
          <w:szCs w:val="24"/>
        </w:rPr>
        <w:t xml:space="preserve"> In some circumstances, the fish flesh consumed can be assessed by assay for ciguatoxin. Even rarer </w:t>
      </w:r>
      <w:r w:rsidR="00FA4498">
        <w:rPr>
          <w:rStyle w:val="None"/>
          <w:rFonts w:ascii="Times New Roman" w:hAnsi="Times New Roman"/>
          <w:sz w:val="24"/>
          <w:szCs w:val="24"/>
        </w:rPr>
        <w:t xml:space="preserve">is </w:t>
      </w:r>
      <w:r>
        <w:rPr>
          <w:rStyle w:val="None"/>
          <w:rFonts w:ascii="Times New Roman" w:hAnsi="Times New Roman"/>
          <w:sz w:val="24"/>
          <w:szCs w:val="24"/>
        </w:rPr>
        <w:t xml:space="preserve">assessing for specific transcriptomic signatures of acute ciguatera (1). Treatment of acute ciguatera is limited to watchful waiting, supportive care and a trial of mannitol (8) which is of uncertain value. </w:t>
      </w:r>
    </w:p>
    <w:p w14:paraId="1E3DFF4B" w14:textId="4DD44B4F" w:rsidR="00185232" w:rsidRDefault="006074F5" w:rsidP="00466750">
      <w:pPr>
        <w:pStyle w:val="BodyA"/>
        <w:jc w:val="both"/>
      </w:pPr>
      <w:r>
        <w:rPr>
          <w:rStyle w:val="None"/>
          <w:rFonts w:ascii="Times New Roman" w:hAnsi="Times New Roman"/>
          <w:sz w:val="24"/>
          <w:szCs w:val="24"/>
        </w:rPr>
        <w:t>Of all acute ciguatera cases, an estimated 5% evolve into a chronic syndrome</w:t>
      </w:r>
      <w:r w:rsidR="00BA289D">
        <w:rPr>
          <w:rStyle w:val="None"/>
          <w:rFonts w:ascii="Times New Roman" w:hAnsi="Times New Roman"/>
          <w:sz w:val="24"/>
          <w:szCs w:val="24"/>
        </w:rPr>
        <w:t xml:space="preserve"> </w:t>
      </w:r>
      <w:r>
        <w:rPr>
          <w:rStyle w:val="None"/>
          <w:rFonts w:ascii="Times New Roman" w:hAnsi="Times New Roman"/>
          <w:sz w:val="24"/>
          <w:szCs w:val="24"/>
        </w:rPr>
        <w:t>(9)</w:t>
      </w:r>
      <w:r w:rsidR="00BA289D">
        <w:rPr>
          <w:rStyle w:val="None"/>
          <w:rFonts w:ascii="Times New Roman" w:hAnsi="Times New Roman"/>
          <w:sz w:val="24"/>
          <w:szCs w:val="24"/>
        </w:rPr>
        <w:t>.</w:t>
      </w:r>
      <w:r>
        <w:rPr>
          <w:rStyle w:val="None"/>
          <w:rFonts w:ascii="Times New Roman" w:hAnsi="Times New Roman"/>
          <w:sz w:val="24"/>
          <w:szCs w:val="24"/>
        </w:rPr>
        <w:t xml:space="preserve"> </w:t>
      </w:r>
      <w:r w:rsidR="006F2CED">
        <w:rPr>
          <w:rStyle w:val="None"/>
          <w:rFonts w:ascii="Times New Roman" w:hAnsi="Times New Roman"/>
          <w:sz w:val="24"/>
          <w:szCs w:val="24"/>
        </w:rPr>
        <w:t>Despite the increasing incidence of appearance of ciguatoxin-contaminated fish in non-tropical areas, recognition of ciguatera is often delayed due to lack of recognition of the toxin-related syndrome</w:t>
      </w:r>
      <w:r w:rsidR="003B0CD6">
        <w:rPr>
          <w:rStyle w:val="None"/>
          <w:rFonts w:ascii="Times New Roman" w:hAnsi="Times New Roman"/>
          <w:sz w:val="24"/>
          <w:szCs w:val="24"/>
        </w:rPr>
        <w:t>.</w:t>
      </w:r>
      <w:r w:rsidR="006F2CED">
        <w:rPr>
          <w:rStyle w:val="None"/>
          <w:rFonts w:ascii="Times New Roman" w:hAnsi="Times New Roman"/>
          <w:sz w:val="24"/>
          <w:szCs w:val="24"/>
        </w:rPr>
        <w:t xml:space="preserve"> </w:t>
      </w:r>
      <w:r>
        <w:rPr>
          <w:rStyle w:val="None"/>
          <w:rFonts w:ascii="Times New Roman" w:hAnsi="Times New Roman"/>
          <w:sz w:val="24"/>
          <w:szCs w:val="24"/>
        </w:rPr>
        <w:t>Chronic ciguatera is best understood then as a chronic inflammatory response syndrome</w:t>
      </w:r>
      <w:r w:rsidR="00BA289D">
        <w:rPr>
          <w:rStyle w:val="None"/>
          <w:rFonts w:ascii="Times New Roman" w:hAnsi="Times New Roman"/>
          <w:sz w:val="24"/>
          <w:szCs w:val="24"/>
        </w:rPr>
        <w:t xml:space="preserve"> </w:t>
      </w:r>
      <w:r>
        <w:rPr>
          <w:rStyle w:val="None"/>
          <w:rFonts w:ascii="Times New Roman" w:hAnsi="Times New Roman"/>
          <w:sz w:val="24"/>
          <w:szCs w:val="24"/>
        </w:rPr>
        <w:t>(1). Chronic ciguatera shows a marked genetic propensity to two specific HLA haplotypes: DRB1-4; DQ-3, DRB4-53 or DR</w:t>
      </w:r>
      <w:r w:rsidR="003B0CD6">
        <w:rPr>
          <w:rStyle w:val="None"/>
          <w:rFonts w:ascii="Times New Roman" w:hAnsi="Times New Roman"/>
          <w:sz w:val="24"/>
          <w:szCs w:val="24"/>
        </w:rPr>
        <w:t xml:space="preserve">B1-11; DQ-3; DRB3-52B (3). </w:t>
      </w:r>
      <w:r w:rsidR="00AE3991">
        <w:rPr>
          <w:rStyle w:val="None"/>
          <w:rFonts w:ascii="Times New Roman" w:hAnsi="Times New Roman"/>
          <w:sz w:val="24"/>
          <w:szCs w:val="24"/>
        </w:rPr>
        <w:t>Additional</w:t>
      </w:r>
      <w:r>
        <w:rPr>
          <w:rStyle w:val="None"/>
          <w:rFonts w:ascii="Times New Roman" w:hAnsi="Times New Roman"/>
          <w:sz w:val="24"/>
          <w:szCs w:val="24"/>
        </w:rPr>
        <w:t xml:space="preserve"> proteomic parallels to other chronic inflammatory syndromes are lower levels of regulatory peptides, especially MSH, higher than normal levels of transforming growth factor beta-1, split products of activation of the fourth element of complement and disrupted regulation of feedback control of osmolality by ADH and cortisol by ACTH (1, 10). Various other diagnostic modalities are disrupted including deficits in VCS testing; stress echocardiograms revealing acquired pulmonary hypertension; pulmonary function tests revealing restrictive lung disease; and brain volumetric studies (NeuroQuant</w:t>
      </w:r>
      <w:r w:rsidR="00625BCD">
        <w:rPr>
          <w:rStyle w:val="None"/>
          <w:rFonts w:ascii="Times New Roman" w:hAnsi="Times New Roman" w:cs="Times New Roman"/>
          <w:sz w:val="24"/>
          <w:szCs w:val="24"/>
        </w:rPr>
        <w:t>®</w:t>
      </w:r>
      <w:r>
        <w:rPr>
          <w:rStyle w:val="None"/>
          <w:rFonts w:ascii="Times New Roman" w:hAnsi="Times New Roman"/>
          <w:sz w:val="24"/>
          <w:szCs w:val="24"/>
        </w:rPr>
        <w:t xml:space="preserve">) finding of excessive atrophy of gray matter nuclear material in the bilateral pallidum, putamen and thalamus (1). </w:t>
      </w:r>
    </w:p>
    <w:p w14:paraId="56B0AE6A" w14:textId="6ADCA091" w:rsidR="00315713" w:rsidRDefault="006074F5" w:rsidP="00466750">
      <w:pPr>
        <w:pStyle w:val="BodyA"/>
        <w:jc w:val="both"/>
        <w:rPr>
          <w:rStyle w:val="None"/>
          <w:rFonts w:ascii="Times New Roman" w:hAnsi="Times New Roman"/>
          <w:sz w:val="24"/>
          <w:szCs w:val="24"/>
        </w:rPr>
      </w:pPr>
      <w:r>
        <w:rPr>
          <w:rStyle w:val="None"/>
          <w:rFonts w:ascii="Times New Roman" w:hAnsi="Times New Roman"/>
          <w:sz w:val="24"/>
          <w:szCs w:val="24"/>
        </w:rPr>
        <w:t xml:space="preserve">A transcriptomic case definition may also be viable. In a study of 11 patients with ciguatera-induced CIRS and 11 normal controls, transcriptomic analysis achieved 100% classification accuracy (11). There were characteristic effects on differential gene activation in regions involved with wound healing (CD9, CD36, vWF and Factor XIII); adaptive immunity (HLADQB1, DQB2, IL18R1, IL5RA); innate immunity (GZMK, TOLLIP, SIGIRR and VIPR2); and differential expression of long, non-coding sequences (lncRNA). The significance of a transcriptomic signature for chronic ciguatera is it may allow for differentiation amongst different subtypes of CIRS with one study. Since nearly </w:t>
      </w:r>
      <w:r w:rsidR="00AE3991">
        <w:rPr>
          <w:rStyle w:val="None"/>
          <w:rFonts w:ascii="Times New Roman" w:hAnsi="Times New Roman"/>
          <w:sz w:val="24"/>
          <w:szCs w:val="24"/>
        </w:rPr>
        <w:t>all</w:t>
      </w:r>
      <w:r>
        <w:rPr>
          <w:rStyle w:val="None"/>
          <w:rFonts w:ascii="Times New Roman" w:hAnsi="Times New Roman"/>
          <w:sz w:val="24"/>
          <w:szCs w:val="24"/>
        </w:rPr>
        <w:t xml:space="preserve"> the proteomic and diagnostic modalities listed in the prior paragraph are indistinguishable from those found in CIRS-WDB and CIRS-Post</w:t>
      </w:r>
      <w:r w:rsidR="00030ABD">
        <w:rPr>
          <w:rStyle w:val="None"/>
          <w:rFonts w:ascii="Times New Roman" w:hAnsi="Times New Roman"/>
          <w:sz w:val="24"/>
          <w:szCs w:val="24"/>
        </w:rPr>
        <w:t>-</w:t>
      </w:r>
      <w:r>
        <w:rPr>
          <w:rStyle w:val="None"/>
          <w:rFonts w:ascii="Times New Roman" w:hAnsi="Times New Roman"/>
          <w:sz w:val="24"/>
          <w:szCs w:val="24"/>
        </w:rPr>
        <w:t>Lyme Syndrome, RNA-Seq allows for insights and diagnostic clarity that may be otherwise unobtainable.</w:t>
      </w:r>
    </w:p>
    <w:p w14:paraId="45447CFE" w14:textId="77777777" w:rsidR="00030ABD" w:rsidRDefault="00030ABD" w:rsidP="00466750">
      <w:pPr>
        <w:pStyle w:val="BodyA"/>
        <w:jc w:val="both"/>
        <w:rPr>
          <w:rStyle w:val="None"/>
          <w:rFonts w:ascii="Times New Roman" w:hAnsi="Times New Roman"/>
          <w:sz w:val="24"/>
          <w:szCs w:val="24"/>
        </w:rPr>
      </w:pPr>
    </w:p>
    <w:p w14:paraId="56222D3D" w14:textId="2D7DDC41" w:rsidR="00185232" w:rsidRPr="00685186" w:rsidRDefault="006074F5" w:rsidP="00466750">
      <w:pPr>
        <w:pStyle w:val="BodyA"/>
        <w:jc w:val="both"/>
        <w:rPr>
          <w:sz w:val="28"/>
          <w:szCs w:val="28"/>
        </w:rPr>
      </w:pPr>
      <w:r>
        <w:rPr>
          <w:rStyle w:val="None"/>
          <w:rFonts w:ascii="Times New Roman" w:hAnsi="Times New Roman"/>
          <w:sz w:val="24"/>
          <w:szCs w:val="24"/>
        </w:rPr>
        <w:t xml:space="preserve"> </w:t>
      </w:r>
      <w:r w:rsidRPr="00685186">
        <w:rPr>
          <w:rStyle w:val="None"/>
          <w:rFonts w:ascii="Times New Roman" w:hAnsi="Times New Roman"/>
          <w:b/>
          <w:bCs/>
          <w:sz w:val="28"/>
          <w:szCs w:val="28"/>
        </w:rPr>
        <w:t>Section 10. Pfiesteria (CIRS-Pfiesteria</w:t>
      </w:r>
      <w:r w:rsidR="00232C57" w:rsidRPr="00685186">
        <w:rPr>
          <w:rStyle w:val="None"/>
          <w:rFonts w:ascii="Times New Roman" w:hAnsi="Times New Roman"/>
          <w:b/>
          <w:bCs/>
          <w:sz w:val="28"/>
          <w:szCs w:val="28"/>
        </w:rPr>
        <w:t>)</w:t>
      </w:r>
      <w:r w:rsidRPr="00685186">
        <w:rPr>
          <w:rStyle w:val="None"/>
          <w:rFonts w:ascii="Times New Roman" w:hAnsi="Times New Roman"/>
          <w:sz w:val="28"/>
          <w:szCs w:val="28"/>
        </w:rPr>
        <w:t xml:space="preserve"> </w:t>
      </w:r>
    </w:p>
    <w:p w14:paraId="782E62FC" w14:textId="50777285" w:rsidR="00185232" w:rsidRDefault="006074F5" w:rsidP="00466750">
      <w:pPr>
        <w:pStyle w:val="BodyA"/>
        <w:jc w:val="both"/>
      </w:pPr>
      <w:r>
        <w:rPr>
          <w:rStyle w:val="None"/>
          <w:rFonts w:ascii="Times New Roman" w:hAnsi="Times New Roman"/>
          <w:sz w:val="24"/>
          <w:szCs w:val="24"/>
        </w:rPr>
        <w:t xml:space="preserve">Though far less prevalent than CIRS from water-damaged buildings and post-treatment Lyme disease, biotoxins from other organisms are important to recognize as potential causative agents for CIRS. </w:t>
      </w:r>
      <w:r>
        <w:rPr>
          <w:rStyle w:val="None"/>
          <w:rFonts w:ascii="Times New Roman" w:hAnsi="Times New Roman"/>
          <w:i/>
          <w:iCs/>
          <w:sz w:val="24"/>
          <w:szCs w:val="24"/>
          <w:lang w:val="es-ES_tradnl"/>
        </w:rPr>
        <w:t xml:space="preserve">Pfiesteria </w:t>
      </w:r>
      <w:r>
        <w:rPr>
          <w:rStyle w:val="None"/>
          <w:rFonts w:ascii="Times New Roman" w:hAnsi="Times New Roman"/>
          <w:sz w:val="24"/>
          <w:szCs w:val="24"/>
        </w:rPr>
        <w:t xml:space="preserve">is of unique historical importance as it was Dr. Ritchie Shoemaker’s initial investigation into this organism and the illness it caused that laid the foundation for discovering </w:t>
      </w:r>
      <w:r w:rsidR="00232C57">
        <w:rPr>
          <w:rStyle w:val="None"/>
          <w:rFonts w:ascii="Times New Roman" w:hAnsi="Times New Roman"/>
          <w:sz w:val="24"/>
          <w:szCs w:val="24"/>
        </w:rPr>
        <w:t>CIRS</w:t>
      </w:r>
      <w:r>
        <w:rPr>
          <w:rStyle w:val="None"/>
          <w:rFonts w:ascii="Times New Roman" w:hAnsi="Times New Roman"/>
          <w:sz w:val="24"/>
          <w:szCs w:val="24"/>
        </w:rPr>
        <w:t>. In response to his investigation of the ecological disaster that led to fish kills in the Pocomoke River and a mysterious human illness in 1996, Dr. Shoemaker published the first case reports of human illness caused by exposure to Pfiesteria toxin in 1997 (1). He published the first article identifying an effective treatment for Pfiesteria six months later (2).</w:t>
      </w:r>
    </w:p>
    <w:p w14:paraId="269857FB" w14:textId="274F01D0" w:rsidR="00185232" w:rsidRDefault="006074F5" w:rsidP="00466750">
      <w:pPr>
        <w:pStyle w:val="BodyA"/>
        <w:jc w:val="both"/>
      </w:pPr>
      <w:r>
        <w:rPr>
          <w:rStyle w:val="None"/>
          <w:rFonts w:ascii="Times New Roman" w:hAnsi="Times New Roman"/>
          <w:i/>
          <w:iCs/>
          <w:sz w:val="24"/>
          <w:szCs w:val="24"/>
          <w:lang w:val="es-ES_tradnl"/>
        </w:rPr>
        <w:t xml:space="preserve">Pfiesteria </w:t>
      </w:r>
      <w:r>
        <w:rPr>
          <w:rStyle w:val="None"/>
          <w:rFonts w:ascii="Times New Roman" w:hAnsi="Times New Roman"/>
          <w:sz w:val="24"/>
          <w:szCs w:val="24"/>
        </w:rPr>
        <w:t xml:space="preserve">related fish kills affected not only the Pocomoke River in Maryland but also estuaries in the Chesapeake Bay, Virginia and North Carolina. These fish kills generally occurred under </w:t>
      </w:r>
      <w:r w:rsidR="00535F32">
        <w:rPr>
          <w:rStyle w:val="None"/>
          <w:rFonts w:ascii="Times New Roman" w:hAnsi="Times New Roman"/>
          <w:sz w:val="24"/>
          <w:szCs w:val="24"/>
        </w:rPr>
        <w:t>ecological</w:t>
      </w:r>
      <w:r>
        <w:rPr>
          <w:rStyle w:val="None"/>
          <w:rFonts w:ascii="Times New Roman" w:hAnsi="Times New Roman"/>
          <w:sz w:val="24"/>
          <w:szCs w:val="24"/>
        </w:rPr>
        <w:t xml:space="preserve"> conditions including elevated copper in porewater</w:t>
      </w:r>
      <w:r w:rsidR="00FA4498">
        <w:rPr>
          <w:rStyle w:val="None"/>
          <w:rFonts w:ascii="Times New Roman" w:hAnsi="Times New Roman"/>
          <w:sz w:val="24"/>
          <w:szCs w:val="24"/>
        </w:rPr>
        <w:t xml:space="preserve"> (water found in sediment)</w:t>
      </w:r>
      <w:r>
        <w:rPr>
          <w:rStyle w:val="None"/>
          <w:rFonts w:ascii="Times New Roman" w:hAnsi="Times New Roman"/>
          <w:sz w:val="24"/>
          <w:szCs w:val="24"/>
        </w:rPr>
        <w:t xml:space="preserve">, rain events and run off from chicken manure applied to no-till fields. Human illness caused by </w:t>
      </w:r>
      <w:r>
        <w:rPr>
          <w:rStyle w:val="None"/>
          <w:rFonts w:ascii="Times New Roman" w:hAnsi="Times New Roman"/>
          <w:i/>
          <w:iCs/>
          <w:sz w:val="24"/>
          <w:szCs w:val="24"/>
          <w:lang w:val="es-ES_tradnl"/>
        </w:rPr>
        <w:t xml:space="preserve">Pfiesteria </w:t>
      </w:r>
      <w:r>
        <w:rPr>
          <w:rStyle w:val="None"/>
          <w:rFonts w:ascii="Times New Roman" w:hAnsi="Times New Roman"/>
          <w:sz w:val="24"/>
          <w:szCs w:val="24"/>
        </w:rPr>
        <w:t xml:space="preserve">has undergone multiple nomenclature changes. In Dr. Shoemaker’s 1997 article first identifying this disease, it was referred to </w:t>
      </w:r>
      <w:r>
        <w:rPr>
          <w:rStyle w:val="None"/>
          <w:rFonts w:ascii="Times New Roman" w:hAnsi="Times New Roman"/>
          <w:i/>
          <w:iCs/>
          <w:sz w:val="24"/>
          <w:szCs w:val="24"/>
          <w:lang w:val="es-ES_tradnl"/>
        </w:rPr>
        <w:t>Pfiesteria</w:t>
      </w:r>
      <w:r>
        <w:rPr>
          <w:rStyle w:val="None"/>
          <w:rFonts w:ascii="Times New Roman" w:hAnsi="Times New Roman"/>
          <w:sz w:val="24"/>
          <w:szCs w:val="24"/>
        </w:rPr>
        <w:t xml:space="preserve">-human illness syndrome. The Centers for Disease Control and Prevention named this disease Possible Estuary-Associated Syndrome. With the advance in understanding of the mechanisms of the chronic phase of human illness from </w:t>
      </w:r>
      <w:r>
        <w:rPr>
          <w:rStyle w:val="None"/>
          <w:rFonts w:ascii="Times New Roman" w:hAnsi="Times New Roman"/>
          <w:i/>
          <w:iCs/>
          <w:sz w:val="24"/>
          <w:szCs w:val="24"/>
          <w:lang w:val="es-ES_tradnl"/>
        </w:rPr>
        <w:t>Pfiesteria</w:t>
      </w:r>
      <w:r>
        <w:rPr>
          <w:rStyle w:val="None"/>
          <w:rFonts w:ascii="Times New Roman" w:hAnsi="Times New Roman"/>
          <w:sz w:val="24"/>
          <w:szCs w:val="24"/>
        </w:rPr>
        <w:t>, the most accurate name would be CIRS-</w:t>
      </w:r>
      <w:r>
        <w:rPr>
          <w:rStyle w:val="None"/>
          <w:rFonts w:ascii="Times New Roman" w:hAnsi="Times New Roman"/>
          <w:i/>
          <w:iCs/>
          <w:sz w:val="24"/>
          <w:szCs w:val="24"/>
        </w:rPr>
        <w:t xml:space="preserve">Pfiesteria. </w:t>
      </w:r>
      <w:r>
        <w:rPr>
          <w:rStyle w:val="None"/>
          <w:rFonts w:ascii="Times New Roman" w:hAnsi="Times New Roman"/>
          <w:sz w:val="24"/>
          <w:szCs w:val="24"/>
        </w:rPr>
        <w:t xml:space="preserve">The acute phase of </w:t>
      </w:r>
      <w:r>
        <w:rPr>
          <w:rStyle w:val="None"/>
          <w:rFonts w:ascii="Times New Roman" w:hAnsi="Times New Roman"/>
          <w:i/>
          <w:iCs/>
          <w:sz w:val="24"/>
          <w:szCs w:val="24"/>
          <w:lang w:val="es-ES_tradnl"/>
        </w:rPr>
        <w:t>Pfiesteria-</w:t>
      </w:r>
      <w:r>
        <w:rPr>
          <w:rStyle w:val="None"/>
          <w:rFonts w:ascii="Times New Roman" w:hAnsi="Times New Roman"/>
          <w:sz w:val="24"/>
          <w:szCs w:val="24"/>
        </w:rPr>
        <w:t>related illness is toxin-mediated and transmitted through direct contact with estuarine water or inhalation of aerosolized or volatilized toxin. Significant toxins</w:t>
      </w:r>
      <w:r w:rsidR="00030ABD">
        <w:rPr>
          <w:rStyle w:val="None"/>
          <w:rFonts w:ascii="Times New Roman" w:hAnsi="Times New Roman"/>
          <w:sz w:val="24"/>
          <w:szCs w:val="24"/>
        </w:rPr>
        <w:t xml:space="preserve"> producers</w:t>
      </w:r>
      <w:r>
        <w:rPr>
          <w:rStyle w:val="None"/>
          <w:rFonts w:ascii="Times New Roman" w:hAnsi="Times New Roman"/>
          <w:sz w:val="24"/>
          <w:szCs w:val="24"/>
        </w:rPr>
        <w:t xml:space="preserve"> </w:t>
      </w:r>
      <w:r w:rsidR="00030ABD">
        <w:rPr>
          <w:rStyle w:val="None"/>
          <w:rFonts w:ascii="Times New Roman" w:hAnsi="Times New Roman"/>
          <w:sz w:val="24"/>
          <w:szCs w:val="24"/>
        </w:rPr>
        <w:t xml:space="preserve">are included in </w:t>
      </w:r>
      <w:r>
        <w:rPr>
          <w:rStyle w:val="None"/>
          <w:rFonts w:ascii="Times New Roman" w:hAnsi="Times New Roman"/>
          <w:i/>
          <w:iCs/>
          <w:sz w:val="24"/>
          <w:szCs w:val="24"/>
          <w:lang w:val="es-ES_tradnl"/>
        </w:rPr>
        <w:t xml:space="preserve">Pfiesteria </w:t>
      </w:r>
      <w:r>
        <w:rPr>
          <w:rStyle w:val="None"/>
          <w:rFonts w:ascii="Times New Roman" w:hAnsi="Times New Roman"/>
          <w:sz w:val="24"/>
          <w:szCs w:val="24"/>
          <w:lang w:val="fr-FR"/>
        </w:rPr>
        <w:t>complex</w:t>
      </w:r>
      <w:r w:rsidR="00030ABD">
        <w:rPr>
          <w:rStyle w:val="None"/>
          <w:rFonts w:ascii="Times New Roman" w:hAnsi="Times New Roman"/>
          <w:sz w:val="24"/>
          <w:szCs w:val="24"/>
          <w:lang w:val="fr-FR"/>
        </w:rPr>
        <w:t xml:space="preserve"> organisms with specific </w:t>
      </w:r>
      <w:r w:rsidR="006F2CED">
        <w:rPr>
          <w:rStyle w:val="None"/>
          <w:rFonts w:ascii="Times New Roman" w:hAnsi="Times New Roman"/>
          <w:sz w:val="24"/>
          <w:szCs w:val="24"/>
          <w:lang w:val="fr-FR"/>
        </w:rPr>
        <w:t xml:space="preserve">mention of </w:t>
      </w:r>
      <w:r>
        <w:rPr>
          <w:rStyle w:val="None"/>
          <w:rFonts w:ascii="Times New Roman" w:hAnsi="Times New Roman"/>
          <w:i/>
          <w:iCs/>
          <w:sz w:val="24"/>
          <w:szCs w:val="24"/>
          <w:lang w:val="es-ES_tradnl"/>
        </w:rPr>
        <w:t xml:space="preserve">Pfiesteria </w:t>
      </w:r>
      <w:r w:rsidRPr="002D3A6E">
        <w:rPr>
          <w:rStyle w:val="None"/>
          <w:rFonts w:ascii="Times New Roman" w:hAnsi="Times New Roman"/>
          <w:i/>
          <w:sz w:val="24"/>
          <w:szCs w:val="24"/>
          <w:lang w:val="es-ES_tradnl"/>
        </w:rPr>
        <w:t>piscicida</w:t>
      </w:r>
      <w:r>
        <w:rPr>
          <w:rStyle w:val="None"/>
          <w:rFonts w:ascii="Times New Roman" w:hAnsi="Times New Roman"/>
          <w:sz w:val="24"/>
          <w:szCs w:val="24"/>
          <w:lang w:val="es-ES_tradnl"/>
        </w:rPr>
        <w:t xml:space="preserve"> and </w:t>
      </w:r>
      <w:r>
        <w:rPr>
          <w:rStyle w:val="None"/>
          <w:rFonts w:ascii="Times New Roman" w:hAnsi="Times New Roman"/>
          <w:i/>
          <w:iCs/>
          <w:sz w:val="24"/>
          <w:szCs w:val="24"/>
          <w:lang w:val="es-ES_tradnl"/>
        </w:rPr>
        <w:t xml:space="preserve">Pfiesteria </w:t>
      </w:r>
      <w:r w:rsidRPr="002D3A6E">
        <w:rPr>
          <w:rStyle w:val="None"/>
          <w:rFonts w:ascii="Times New Roman" w:hAnsi="Times New Roman"/>
          <w:i/>
          <w:sz w:val="24"/>
          <w:szCs w:val="24"/>
        </w:rPr>
        <w:t>shumwaye</w:t>
      </w:r>
      <w:r>
        <w:rPr>
          <w:rStyle w:val="None"/>
          <w:rFonts w:ascii="Times New Roman" w:hAnsi="Times New Roman"/>
          <w:sz w:val="24"/>
          <w:szCs w:val="24"/>
        </w:rPr>
        <w:t xml:space="preserve">. </w:t>
      </w:r>
    </w:p>
    <w:p w14:paraId="3D740A88" w14:textId="6CC2CD5F" w:rsidR="00185232" w:rsidRDefault="006074F5" w:rsidP="00466750">
      <w:pPr>
        <w:pStyle w:val="BodyA"/>
        <w:jc w:val="both"/>
        <w:rPr>
          <w:rStyle w:val="None"/>
          <w:rFonts w:ascii="Times New Roman" w:hAnsi="Times New Roman"/>
          <w:sz w:val="24"/>
          <w:szCs w:val="24"/>
        </w:rPr>
      </w:pPr>
      <w:r>
        <w:rPr>
          <w:rStyle w:val="None"/>
          <w:rFonts w:ascii="Times New Roman" w:hAnsi="Times New Roman"/>
          <w:sz w:val="24"/>
          <w:szCs w:val="24"/>
        </w:rPr>
        <w:t xml:space="preserve">There are a host of nonspecific clinical symptoms that are also present in other forms of CIRS. In </w:t>
      </w:r>
      <w:r>
        <w:rPr>
          <w:rStyle w:val="None"/>
          <w:rFonts w:ascii="Times New Roman" w:hAnsi="Times New Roman"/>
          <w:i/>
          <w:iCs/>
          <w:sz w:val="24"/>
          <w:szCs w:val="24"/>
          <w:lang w:val="es-ES_tradnl"/>
        </w:rPr>
        <w:t>Pfiesteria</w:t>
      </w:r>
      <w:r>
        <w:rPr>
          <w:rStyle w:val="None"/>
          <w:rFonts w:ascii="Times New Roman" w:hAnsi="Times New Roman"/>
          <w:sz w:val="24"/>
          <w:szCs w:val="24"/>
        </w:rPr>
        <w:t>, the most common of these nonspecific symptoms are cough, secretory diarrhea, headache, fatigue, memory impairment, rash, difficulty concentrating, light sensitivity, burning skin upon water contact, muscle ache and abdominal pain</w:t>
      </w:r>
      <w:r w:rsidR="006F2CED">
        <w:rPr>
          <w:rStyle w:val="None"/>
          <w:rFonts w:ascii="Times New Roman" w:hAnsi="Times New Roman"/>
          <w:sz w:val="24"/>
          <w:szCs w:val="24"/>
        </w:rPr>
        <w:t xml:space="preserve"> (3)</w:t>
      </w:r>
      <w:r>
        <w:rPr>
          <w:rStyle w:val="None"/>
          <w:rFonts w:ascii="Times New Roman" w:hAnsi="Times New Roman"/>
          <w:sz w:val="24"/>
          <w:szCs w:val="24"/>
        </w:rPr>
        <w:t>. Less common symptoms are upper airway obstruction, shortness of breath, confusion, red or tearing eyes, weakness or vertigo (</w:t>
      </w:r>
      <w:r w:rsidR="006F2CED">
        <w:rPr>
          <w:rStyle w:val="None"/>
          <w:rFonts w:ascii="Times New Roman" w:hAnsi="Times New Roman"/>
          <w:sz w:val="24"/>
          <w:szCs w:val="24"/>
        </w:rPr>
        <w:t>4</w:t>
      </w:r>
      <w:r>
        <w:rPr>
          <w:rStyle w:val="None"/>
          <w:rFonts w:ascii="Times New Roman" w:hAnsi="Times New Roman"/>
          <w:sz w:val="24"/>
          <w:szCs w:val="24"/>
        </w:rPr>
        <w:t>).</w:t>
      </w:r>
      <w:r w:rsidR="00BA289D">
        <w:rPr>
          <w:rStyle w:val="None"/>
          <w:rFonts w:ascii="Times New Roman" w:hAnsi="Times New Roman"/>
          <w:sz w:val="24"/>
          <w:szCs w:val="24"/>
        </w:rPr>
        <w:t xml:space="preserve"> </w:t>
      </w:r>
      <w:r>
        <w:rPr>
          <w:rStyle w:val="None"/>
          <w:rFonts w:ascii="Times New Roman" w:hAnsi="Times New Roman"/>
          <w:sz w:val="24"/>
          <w:szCs w:val="24"/>
        </w:rPr>
        <w:t>VCS testing reveals sharply reduced scores for both the acute and chronic phase of this disease</w:t>
      </w:r>
      <w:r w:rsidR="00BA289D">
        <w:rPr>
          <w:rStyle w:val="None"/>
          <w:rFonts w:ascii="Times New Roman" w:hAnsi="Times New Roman"/>
          <w:sz w:val="24"/>
          <w:szCs w:val="24"/>
        </w:rPr>
        <w:t xml:space="preserve"> </w:t>
      </w:r>
      <w:r>
        <w:rPr>
          <w:rStyle w:val="None"/>
          <w:rFonts w:ascii="Times New Roman" w:hAnsi="Times New Roman"/>
          <w:sz w:val="24"/>
          <w:szCs w:val="24"/>
        </w:rPr>
        <w:t>(</w:t>
      </w:r>
      <w:r w:rsidR="006F2CED">
        <w:rPr>
          <w:rStyle w:val="None"/>
          <w:rFonts w:ascii="Times New Roman" w:hAnsi="Times New Roman"/>
          <w:sz w:val="24"/>
          <w:szCs w:val="24"/>
        </w:rPr>
        <w:t>4</w:t>
      </w:r>
      <w:r>
        <w:rPr>
          <w:rStyle w:val="None"/>
          <w:rFonts w:ascii="Times New Roman" w:hAnsi="Times New Roman"/>
          <w:sz w:val="24"/>
          <w:szCs w:val="24"/>
        </w:rPr>
        <w:t xml:space="preserve">).  An early treatment protocol in 2001 described the use of cholestyramine and as-needed use of sorbitol and Prilosec to manage the possible side effects of constipation and reflux respectively (2). With advances in the understanding of the chronic phase of </w:t>
      </w:r>
      <w:r w:rsidRPr="002D3A6E">
        <w:rPr>
          <w:rStyle w:val="None"/>
          <w:rFonts w:ascii="Times New Roman" w:hAnsi="Times New Roman"/>
          <w:i/>
          <w:sz w:val="24"/>
          <w:szCs w:val="24"/>
        </w:rPr>
        <w:t>Pfiesteria</w:t>
      </w:r>
      <w:r>
        <w:rPr>
          <w:rStyle w:val="None"/>
          <w:rFonts w:ascii="Times New Roman" w:hAnsi="Times New Roman"/>
          <w:sz w:val="24"/>
          <w:szCs w:val="24"/>
        </w:rPr>
        <w:t xml:space="preserve"> induced illness as a CIRS, the application of the modern CIRS protocol is considered the updated standard of care. </w:t>
      </w:r>
    </w:p>
    <w:p w14:paraId="2FA951C3" w14:textId="77777777" w:rsidR="00232C57" w:rsidRDefault="00232C57" w:rsidP="00466750">
      <w:pPr>
        <w:pStyle w:val="BodyA"/>
        <w:jc w:val="both"/>
      </w:pPr>
    </w:p>
    <w:p w14:paraId="27C4CEC9" w14:textId="2AB57307" w:rsidR="00185232" w:rsidRDefault="006074F5" w:rsidP="00466750">
      <w:pPr>
        <w:pStyle w:val="Default"/>
        <w:jc w:val="both"/>
        <w:rPr>
          <w:rStyle w:val="None"/>
          <w:rFonts w:ascii="Times New Roman" w:hAnsi="Times New Roman"/>
          <w:b/>
          <w:bCs/>
          <w:sz w:val="28"/>
          <w:szCs w:val="28"/>
          <w:shd w:val="clear" w:color="auto" w:fill="FFFFFF"/>
        </w:rPr>
      </w:pPr>
      <w:r>
        <w:rPr>
          <w:rStyle w:val="None"/>
          <w:rFonts w:ascii="Times New Roman" w:hAnsi="Times New Roman"/>
          <w:b/>
          <w:bCs/>
          <w:sz w:val="28"/>
          <w:szCs w:val="28"/>
        </w:rPr>
        <w:t>Section 11</w:t>
      </w:r>
      <w:r w:rsidR="00957ABB">
        <w:rPr>
          <w:rStyle w:val="None"/>
          <w:rFonts w:ascii="Times New Roman" w:hAnsi="Times New Roman"/>
          <w:b/>
          <w:bCs/>
          <w:sz w:val="28"/>
          <w:szCs w:val="28"/>
        </w:rPr>
        <w:t>.</w:t>
      </w:r>
      <w:r>
        <w:rPr>
          <w:rStyle w:val="None"/>
          <w:rFonts w:ascii="Times New Roman" w:hAnsi="Times New Roman"/>
          <w:b/>
          <w:bCs/>
          <w:sz w:val="28"/>
          <w:szCs w:val="28"/>
        </w:rPr>
        <w:t xml:space="preserve"> </w:t>
      </w:r>
      <w:r>
        <w:rPr>
          <w:rStyle w:val="None"/>
          <w:rFonts w:ascii="Times New Roman" w:hAnsi="Times New Roman"/>
          <w:b/>
          <w:bCs/>
          <w:sz w:val="28"/>
          <w:szCs w:val="28"/>
          <w:shd w:val="clear" w:color="auto" w:fill="FFFFFF"/>
        </w:rPr>
        <w:t>Cyanobacteria (CIRS-Cyanobacteria)</w:t>
      </w:r>
    </w:p>
    <w:p w14:paraId="62B6BC8B" w14:textId="77777777" w:rsidR="00685186" w:rsidRDefault="00685186" w:rsidP="00466750">
      <w:pPr>
        <w:pStyle w:val="Default"/>
        <w:jc w:val="both"/>
      </w:pPr>
    </w:p>
    <w:p w14:paraId="443DC485" w14:textId="46D8E609" w:rsidR="00185232" w:rsidRDefault="006074F5" w:rsidP="00466750">
      <w:pPr>
        <w:pStyle w:val="Default"/>
        <w:jc w:val="both"/>
      </w:pPr>
      <w:r>
        <w:rPr>
          <w:rStyle w:val="None"/>
          <w:rFonts w:ascii="Times New Roman" w:hAnsi="Times New Roman"/>
          <w:color w:val="212121"/>
          <w:sz w:val="24"/>
          <w:szCs w:val="24"/>
          <w:u w:color="212121"/>
          <w:shd w:val="clear" w:color="auto" w:fill="FFFFFF"/>
        </w:rPr>
        <w:t xml:space="preserve">CIRS can also result from exposure to toxic blooms of cyanobacteria, also known as blue-green </w:t>
      </w:r>
      <w:r>
        <w:rPr>
          <w:rStyle w:val="None"/>
          <w:rFonts w:ascii="Times New Roman" w:hAnsi="Times New Roman"/>
          <w:color w:val="212121"/>
          <w:sz w:val="24"/>
          <w:szCs w:val="24"/>
          <w:u w:color="212121"/>
          <w:shd w:val="clear" w:color="auto" w:fill="FFFFFF"/>
          <w:lang w:val="pt-PT"/>
        </w:rPr>
        <w:t>algae</w:t>
      </w:r>
      <w:r>
        <w:rPr>
          <w:rStyle w:val="None"/>
          <w:rFonts w:ascii="Times New Roman" w:hAnsi="Times New Roman"/>
          <w:color w:val="212121"/>
          <w:sz w:val="24"/>
          <w:szCs w:val="24"/>
          <w:u w:color="212121"/>
          <w:shd w:val="clear" w:color="auto" w:fill="FFFFFF"/>
        </w:rPr>
        <w:t xml:space="preserve">. Ubiquitous in all aquatic environments, they are a phylum of bacteria that obtains their energy through photosynthesis and are the only photosynthetic prokaryotes able to produce oxygen.   Cyanobacteria, along with eukaryotic phytoplankton, form the basis of the aquatic food web. However, some cyanobacteria have the capacity to produce powerful toxic substances (1).   Those known for their potential ability to produce cyanotoxins include </w:t>
      </w:r>
      <w:r>
        <w:rPr>
          <w:rStyle w:val="None"/>
          <w:rFonts w:ascii="Times New Roman" w:hAnsi="Times New Roman"/>
          <w:i/>
          <w:iCs/>
          <w:color w:val="212121"/>
          <w:sz w:val="24"/>
          <w:szCs w:val="24"/>
          <w:u w:color="212121"/>
          <w:shd w:val="clear" w:color="auto" w:fill="FFFFFF"/>
          <w:lang w:val="it-IT"/>
        </w:rPr>
        <w:t>Anabaena, Aphanizomenon, Cylindrospermopsis, Lyngbya, Microcystis, Nodularia, Nostoc</w:t>
      </w:r>
      <w:r>
        <w:rPr>
          <w:rStyle w:val="None"/>
          <w:rFonts w:ascii="Times New Roman" w:hAnsi="Times New Roman"/>
          <w:color w:val="212121"/>
          <w:sz w:val="24"/>
          <w:szCs w:val="24"/>
          <w:u w:color="212121"/>
          <w:shd w:val="clear" w:color="auto" w:fill="FFFFFF"/>
        </w:rPr>
        <w:t xml:space="preserve"> and </w:t>
      </w:r>
      <w:r>
        <w:rPr>
          <w:rStyle w:val="None"/>
          <w:rFonts w:ascii="Times New Roman" w:hAnsi="Times New Roman"/>
          <w:i/>
          <w:iCs/>
          <w:color w:val="212121"/>
          <w:sz w:val="24"/>
          <w:szCs w:val="24"/>
          <w:u w:color="212121"/>
          <w:shd w:val="clear" w:color="auto" w:fill="FFFFFF"/>
        </w:rPr>
        <w:t>Planktothrix</w:t>
      </w:r>
      <w:r>
        <w:rPr>
          <w:rStyle w:val="None"/>
          <w:rFonts w:ascii="Times New Roman" w:hAnsi="Times New Roman"/>
          <w:color w:val="212121"/>
          <w:sz w:val="24"/>
          <w:szCs w:val="24"/>
          <w:u w:color="212121"/>
          <w:shd w:val="clear" w:color="auto" w:fill="FFFFFF"/>
        </w:rPr>
        <w:t>.   These</w:t>
      </w:r>
      <w:r w:rsidR="003B0CD6">
        <w:rPr>
          <w:rStyle w:val="None"/>
          <w:rFonts w:ascii="Times New Roman" w:hAnsi="Times New Roman"/>
          <w:color w:val="212121"/>
          <w:sz w:val="24"/>
          <w:szCs w:val="24"/>
          <w:u w:color="212121"/>
          <w:shd w:val="clear" w:color="auto" w:fill="FFFFFF"/>
        </w:rPr>
        <w:t xml:space="preserve"> cyanotoxins include</w:t>
      </w:r>
      <w:r>
        <w:rPr>
          <w:rStyle w:val="None"/>
          <w:rFonts w:ascii="Times New Roman" w:hAnsi="Times New Roman"/>
          <w:color w:val="212121"/>
          <w:sz w:val="24"/>
          <w:szCs w:val="24"/>
          <w:u w:color="212121"/>
          <w:shd w:val="clear" w:color="auto" w:fill="FFFFFF"/>
        </w:rPr>
        <w:t xml:space="preserve"> neurotoxins</w:t>
      </w:r>
      <w:r w:rsidR="006F2CED">
        <w:rPr>
          <w:rStyle w:val="None"/>
          <w:rFonts w:ascii="Times New Roman" w:hAnsi="Times New Roman"/>
          <w:color w:val="212121"/>
          <w:sz w:val="24"/>
          <w:szCs w:val="24"/>
          <w:u w:color="212121"/>
          <w:shd w:val="clear" w:color="auto" w:fill="FFFFFF"/>
        </w:rPr>
        <w:t>:</w:t>
      </w:r>
      <w:r>
        <w:rPr>
          <w:rStyle w:val="None"/>
          <w:rFonts w:ascii="Times New Roman" w:hAnsi="Times New Roman"/>
          <w:color w:val="212121"/>
          <w:sz w:val="24"/>
          <w:szCs w:val="24"/>
          <w:u w:color="212121"/>
          <w:shd w:val="clear" w:color="auto" w:fill="FFFFFF"/>
        </w:rPr>
        <w:t xml:space="preserve"> anatoxin-a, anatoxins-a(s) and saxitoxins as well as the hepatotoxins</w:t>
      </w:r>
      <w:r w:rsidR="006F2CED">
        <w:rPr>
          <w:rStyle w:val="None"/>
          <w:rFonts w:ascii="Times New Roman" w:hAnsi="Times New Roman"/>
          <w:color w:val="212121"/>
          <w:sz w:val="24"/>
          <w:szCs w:val="24"/>
          <w:u w:color="212121"/>
          <w:shd w:val="clear" w:color="auto" w:fill="FFFFFF"/>
        </w:rPr>
        <w:t>:</w:t>
      </w:r>
      <w:r>
        <w:rPr>
          <w:rStyle w:val="None"/>
          <w:rFonts w:ascii="Times New Roman" w:hAnsi="Times New Roman"/>
          <w:color w:val="212121"/>
          <w:sz w:val="24"/>
          <w:szCs w:val="24"/>
          <w:u w:color="212121"/>
          <w:shd w:val="clear" w:color="auto" w:fill="FFFFFF"/>
        </w:rPr>
        <w:t xml:space="preserve"> </w:t>
      </w:r>
      <w:r w:rsidR="00AE3991">
        <w:rPr>
          <w:rStyle w:val="None"/>
          <w:rFonts w:ascii="Times New Roman" w:hAnsi="Times New Roman"/>
          <w:color w:val="212121"/>
          <w:sz w:val="24"/>
          <w:szCs w:val="24"/>
          <w:u w:color="212121"/>
          <w:shd w:val="clear" w:color="auto" w:fill="FFFFFF"/>
        </w:rPr>
        <w:t>microcystin</w:t>
      </w:r>
      <w:r>
        <w:rPr>
          <w:rStyle w:val="None"/>
          <w:rFonts w:ascii="Times New Roman" w:hAnsi="Times New Roman"/>
          <w:color w:val="212121"/>
          <w:sz w:val="24"/>
          <w:szCs w:val="24"/>
          <w:u w:color="212121"/>
          <w:shd w:val="clear" w:color="auto" w:fill="FFFFFF"/>
        </w:rPr>
        <w:t>, nodularin and cylindrospermopsin (2).</w:t>
      </w:r>
    </w:p>
    <w:p w14:paraId="10A8F172" w14:textId="77777777" w:rsidR="00185232" w:rsidRDefault="00185232" w:rsidP="00466750">
      <w:pPr>
        <w:pStyle w:val="Default"/>
        <w:jc w:val="both"/>
      </w:pPr>
    </w:p>
    <w:p w14:paraId="3C434EB2" w14:textId="6733BD5A" w:rsidR="00185232" w:rsidRDefault="006074F5" w:rsidP="00466750">
      <w:pPr>
        <w:pStyle w:val="Default"/>
        <w:jc w:val="both"/>
      </w:pPr>
      <w:r>
        <w:rPr>
          <w:rStyle w:val="None"/>
          <w:rFonts w:ascii="Times New Roman" w:hAnsi="Times New Roman"/>
          <w:color w:val="212121"/>
          <w:sz w:val="24"/>
          <w:szCs w:val="24"/>
          <w:u w:color="212121"/>
          <w:shd w:val="clear" w:color="auto" w:fill="FFFFFF"/>
        </w:rPr>
        <w:t xml:space="preserve">The first literature reference for toxic cyanobacteria was in 1878 from the brackish water cyanobacteria </w:t>
      </w:r>
      <w:r>
        <w:rPr>
          <w:rStyle w:val="None"/>
          <w:rFonts w:ascii="Times New Roman" w:hAnsi="Times New Roman"/>
          <w:i/>
          <w:iCs/>
          <w:color w:val="212121"/>
          <w:sz w:val="24"/>
          <w:szCs w:val="24"/>
          <w:u w:color="212121"/>
          <w:shd w:val="clear" w:color="auto" w:fill="FFFFFF"/>
        </w:rPr>
        <w:t xml:space="preserve">Nodularia spumigena </w:t>
      </w:r>
      <w:r>
        <w:rPr>
          <w:rStyle w:val="None"/>
          <w:rFonts w:ascii="Times New Roman" w:hAnsi="Times New Roman"/>
          <w:color w:val="212121"/>
          <w:sz w:val="24"/>
          <w:szCs w:val="24"/>
          <w:u w:color="212121"/>
          <w:shd w:val="clear" w:color="auto" w:fill="FFFFFF"/>
        </w:rPr>
        <w:t>when George Francis issue</w:t>
      </w:r>
      <w:r w:rsidR="002F33CB">
        <w:rPr>
          <w:rStyle w:val="None"/>
          <w:rFonts w:ascii="Times New Roman" w:hAnsi="Times New Roman"/>
          <w:color w:val="212121"/>
          <w:sz w:val="24"/>
          <w:szCs w:val="24"/>
          <w:u w:color="212121"/>
          <w:shd w:val="clear" w:color="auto" w:fill="FFFFFF"/>
        </w:rPr>
        <w:t>d</w:t>
      </w:r>
      <w:r>
        <w:rPr>
          <w:rStyle w:val="None"/>
          <w:rFonts w:ascii="Times New Roman" w:hAnsi="Times New Roman"/>
          <w:color w:val="212121"/>
          <w:sz w:val="24"/>
          <w:szCs w:val="24"/>
          <w:u w:color="212121"/>
          <w:shd w:val="clear" w:color="auto" w:fill="FFFFFF"/>
        </w:rPr>
        <w:t xml:space="preserve"> a report on sheep and cattle death in </w:t>
      </w:r>
      <w:r>
        <w:rPr>
          <w:rStyle w:val="None"/>
          <w:rFonts w:ascii="Times New Roman" w:hAnsi="Times New Roman"/>
          <w:i/>
          <w:iCs/>
          <w:color w:val="212121"/>
          <w:sz w:val="24"/>
          <w:szCs w:val="24"/>
          <w:u w:color="212121"/>
          <w:shd w:val="clear" w:color="auto" w:fill="FFFFFF"/>
        </w:rPr>
        <w:t>Nature</w:t>
      </w:r>
      <w:r>
        <w:rPr>
          <w:rStyle w:val="None"/>
          <w:rFonts w:ascii="Times New Roman" w:hAnsi="Times New Roman"/>
          <w:color w:val="212121"/>
          <w:sz w:val="24"/>
          <w:szCs w:val="24"/>
          <w:u w:color="212121"/>
          <w:shd w:val="clear" w:color="auto" w:fill="FFFFFF"/>
        </w:rPr>
        <w:t xml:space="preserve"> called “P</w:t>
      </w:r>
      <w:r w:rsidR="003B0CD6">
        <w:rPr>
          <w:rStyle w:val="None"/>
          <w:rFonts w:ascii="Times New Roman" w:hAnsi="Times New Roman"/>
          <w:color w:val="212121"/>
          <w:sz w:val="24"/>
          <w:szCs w:val="24"/>
          <w:u w:color="212121"/>
          <w:shd w:val="clear" w:color="auto" w:fill="FFFFFF"/>
        </w:rPr>
        <w:t>oisonous Australian Lake.” (3).</w:t>
      </w:r>
      <w:r>
        <w:rPr>
          <w:rStyle w:val="None"/>
          <w:rFonts w:ascii="Times New Roman" w:hAnsi="Times New Roman"/>
          <w:color w:val="212121"/>
          <w:sz w:val="24"/>
          <w:szCs w:val="24"/>
          <w:u w:color="212121"/>
          <w:shd w:val="clear" w:color="auto" w:fill="FFFFFF"/>
        </w:rPr>
        <w:t xml:space="preserve"> During the period of 2007–2011, Departments of Health and/or Environment from 11 states funded by the National Center for Environmental Health (NCEH), Centers for Disease Control and Prevention contributed reports for 4534 events to the Harmful Algal Bloom-related Illness Surveillance System (HABISS) which included 458 cases of suspected and confirmed human bloom-associated illnesses and 175 animal morbidity and mortality events.   However, the extent of human and animal exposures to these organisms or their toxins, and the public health impacts from acute exposures associated with recreational activities or chronic exposures associated with drinking water is unclear (4)</w:t>
      </w:r>
      <w:r w:rsidR="00D95CE2">
        <w:rPr>
          <w:rStyle w:val="None"/>
          <w:rFonts w:ascii="Times New Roman" w:hAnsi="Times New Roman"/>
          <w:color w:val="212121"/>
          <w:sz w:val="24"/>
          <w:szCs w:val="24"/>
          <w:u w:color="212121"/>
          <w:shd w:val="clear" w:color="auto" w:fill="FFFFFF"/>
        </w:rPr>
        <w:t>.</w:t>
      </w:r>
      <w:r>
        <w:rPr>
          <w:rStyle w:val="None"/>
          <w:rFonts w:ascii="Times New Roman" w:hAnsi="Times New Roman"/>
          <w:color w:val="212121"/>
          <w:sz w:val="24"/>
          <w:szCs w:val="24"/>
          <w:u w:color="212121"/>
          <w:shd w:val="clear" w:color="auto" w:fill="FFFFFF"/>
        </w:rPr>
        <w:t xml:space="preserve">   It is possible that the incidence of CIRS from cyanobacteria will be on the increase as the EPA reports in their National Lakes Assessment (NLA) 2012, that the toxin microcystin is detected in 39% of lakes. There has been a significant increase in the percentage of cyanobacteria cell density, a measure of the density of cells that could produce cyanotoxins.  In 2012 the NLA identified a</w:t>
      </w:r>
      <w:r w:rsidR="00D95CE2">
        <w:rPr>
          <w:rStyle w:val="None"/>
          <w:rFonts w:ascii="Times New Roman" w:hAnsi="Times New Roman"/>
          <w:color w:val="212121"/>
          <w:sz w:val="24"/>
          <w:szCs w:val="24"/>
          <w:u w:color="212121"/>
          <w:shd w:val="clear" w:color="auto" w:fill="FFFFFF"/>
        </w:rPr>
        <w:t>n</w:t>
      </w:r>
      <w:r>
        <w:rPr>
          <w:rStyle w:val="None"/>
          <w:rFonts w:ascii="Times New Roman" w:hAnsi="Times New Roman"/>
          <w:color w:val="212121"/>
          <w:sz w:val="24"/>
          <w:szCs w:val="24"/>
          <w:u w:color="212121"/>
          <w:shd w:val="clear" w:color="auto" w:fill="FFFFFF"/>
        </w:rPr>
        <w:t xml:space="preserve"> increase of 9.5% in the detection of the toxin microcystin (5).  At present, the US Federal government has not established exposure regulations for cyanobacteria or cyanotoxins, but </w:t>
      </w:r>
      <w:r w:rsidR="00AE3991">
        <w:rPr>
          <w:rStyle w:val="None"/>
          <w:rFonts w:ascii="Times New Roman" w:hAnsi="Times New Roman"/>
          <w:color w:val="212121"/>
          <w:sz w:val="24"/>
          <w:szCs w:val="24"/>
          <w:u w:color="212121"/>
          <w:shd w:val="clear" w:color="auto" w:fill="FFFFFF"/>
        </w:rPr>
        <w:t>several</w:t>
      </w:r>
      <w:r>
        <w:rPr>
          <w:rStyle w:val="None"/>
          <w:rFonts w:ascii="Times New Roman" w:hAnsi="Times New Roman"/>
          <w:color w:val="212121"/>
          <w:sz w:val="24"/>
          <w:szCs w:val="24"/>
          <w:u w:color="212121"/>
          <w:shd w:val="clear" w:color="auto" w:fill="FFFFFF"/>
        </w:rPr>
        <w:t xml:space="preserve"> states have relied on guidelines published by the World Health Organization or have derived their own risk assessments to support public health decision-making for posting advisories or closing water bodies (6).</w:t>
      </w:r>
    </w:p>
    <w:p w14:paraId="7D2EE9E9" w14:textId="77777777" w:rsidR="00185232" w:rsidRDefault="00185232" w:rsidP="00466750">
      <w:pPr>
        <w:pStyle w:val="Default"/>
        <w:jc w:val="both"/>
      </w:pPr>
    </w:p>
    <w:p w14:paraId="0BD09B64" w14:textId="653A54FB" w:rsidR="00185232" w:rsidRDefault="003B0CD6" w:rsidP="00466750">
      <w:pPr>
        <w:pStyle w:val="Default"/>
        <w:jc w:val="both"/>
      </w:pPr>
      <w:r>
        <w:rPr>
          <w:rStyle w:val="None"/>
          <w:rFonts w:ascii="Times New Roman" w:hAnsi="Times New Roman"/>
          <w:color w:val="212121"/>
          <w:sz w:val="24"/>
          <w:szCs w:val="24"/>
          <w:u w:color="212121"/>
          <w:shd w:val="clear" w:color="auto" w:fill="FFFFFF"/>
        </w:rPr>
        <w:t xml:space="preserve">Exposure to cyanotoxins </w:t>
      </w:r>
      <w:r w:rsidR="006074F5">
        <w:rPr>
          <w:rStyle w:val="None"/>
          <w:rFonts w:ascii="Times New Roman" w:hAnsi="Times New Roman"/>
          <w:color w:val="212121"/>
          <w:sz w:val="24"/>
          <w:szCs w:val="24"/>
          <w:u w:color="212121"/>
          <w:shd w:val="clear" w:color="auto" w:fill="FFFFFF"/>
        </w:rPr>
        <w:t xml:space="preserve">occurs via ingestion, inhalation or </w:t>
      </w:r>
      <w:r w:rsidR="00BA289D">
        <w:rPr>
          <w:rStyle w:val="None"/>
          <w:rFonts w:ascii="Times New Roman" w:hAnsi="Times New Roman"/>
          <w:color w:val="212121"/>
          <w:sz w:val="24"/>
          <w:szCs w:val="24"/>
          <w:u w:color="212121"/>
          <w:shd w:val="clear" w:color="auto" w:fill="FFFFFF"/>
        </w:rPr>
        <w:t xml:space="preserve">skin </w:t>
      </w:r>
      <w:r w:rsidR="006074F5">
        <w:rPr>
          <w:rStyle w:val="None"/>
          <w:rFonts w:ascii="Times New Roman" w:hAnsi="Times New Roman"/>
          <w:color w:val="212121"/>
          <w:sz w:val="24"/>
          <w:szCs w:val="24"/>
          <w:u w:color="212121"/>
          <w:shd w:val="clear" w:color="auto" w:fill="FFFFFF"/>
        </w:rPr>
        <w:t>contact.   Health effects associated with recreational water exposure to harmful algae blooms (HABs) include gastrointestinal, respiratory, eye, ear and dermatological effects with fever and neurological effects reported less frequently (7).  As with CIRS-WDB and CIRS-PLS, exposures to HABs can lead to a chronic biotoxin-associated illness that is characterized by abnormalities in symptoms, VCS and multiple biomarkers that resolves with CSM therapy.   A cohort of 10 people who experienced chronic illness after exposure to Microcystis blooms were assessed before and after 2 weeks of CSM therapy.   Mean symptoms decreased from 19.7 (out of 37), to 3.2, equaling controls. VCS increased by about 40%. All biomarkers normalized except MSH.   Two HLA DR haplotypes (7-2</w:t>
      </w:r>
      <w:r w:rsidR="006F44EF">
        <w:rPr>
          <w:rStyle w:val="None"/>
          <w:rFonts w:ascii="Times New Roman" w:hAnsi="Times New Roman"/>
          <w:color w:val="212121"/>
          <w:sz w:val="24"/>
          <w:szCs w:val="24"/>
          <w:u w:color="212121"/>
          <w:shd w:val="clear" w:color="auto" w:fill="FFFFFF"/>
        </w:rPr>
        <w:t>-53</w:t>
      </w:r>
      <w:r w:rsidR="006074F5">
        <w:rPr>
          <w:rStyle w:val="None"/>
          <w:rFonts w:ascii="Times New Roman" w:hAnsi="Times New Roman"/>
          <w:color w:val="212121"/>
          <w:sz w:val="24"/>
          <w:szCs w:val="24"/>
          <w:u w:color="212121"/>
          <w:shd w:val="clear" w:color="auto" w:fill="FFFFFF"/>
        </w:rPr>
        <w:t xml:space="preserve"> and 14-5</w:t>
      </w:r>
      <w:r w:rsidR="006F44EF">
        <w:rPr>
          <w:rStyle w:val="None"/>
          <w:rFonts w:ascii="Times New Roman" w:hAnsi="Times New Roman"/>
          <w:color w:val="212121"/>
          <w:sz w:val="24"/>
          <w:szCs w:val="24"/>
          <w:u w:color="212121"/>
          <w:shd w:val="clear" w:color="auto" w:fill="FFFFFF"/>
        </w:rPr>
        <w:t>-52B</w:t>
      </w:r>
      <w:r w:rsidR="006074F5">
        <w:rPr>
          <w:rStyle w:val="None"/>
          <w:rFonts w:ascii="Times New Roman" w:hAnsi="Times New Roman"/>
          <w:color w:val="212121"/>
          <w:sz w:val="24"/>
          <w:szCs w:val="24"/>
          <w:u w:color="212121"/>
          <w:shd w:val="clear" w:color="auto" w:fill="FFFFFF"/>
        </w:rPr>
        <w:t>) were significantly overrepresented in th</w:t>
      </w:r>
      <w:r w:rsidR="00BA289D">
        <w:rPr>
          <w:rStyle w:val="None"/>
          <w:rFonts w:ascii="Times New Roman" w:hAnsi="Times New Roman"/>
          <w:color w:val="212121"/>
          <w:sz w:val="24"/>
          <w:szCs w:val="24"/>
          <w:u w:color="212121"/>
          <w:shd w:val="clear" w:color="auto" w:fill="FFFFFF"/>
        </w:rPr>
        <w:t>is small</w:t>
      </w:r>
      <w:r w:rsidR="006074F5">
        <w:rPr>
          <w:rStyle w:val="None"/>
          <w:rFonts w:ascii="Times New Roman" w:hAnsi="Times New Roman"/>
          <w:color w:val="212121"/>
          <w:sz w:val="24"/>
          <w:szCs w:val="24"/>
          <w:u w:color="212121"/>
          <w:shd w:val="clear" w:color="auto" w:fill="FFFFFF"/>
        </w:rPr>
        <w:t xml:space="preserve"> cohort (8).</w:t>
      </w:r>
    </w:p>
    <w:p w14:paraId="5CE5F5A9" w14:textId="77777777" w:rsidR="00185232" w:rsidRDefault="00185232" w:rsidP="00466750">
      <w:pPr>
        <w:pStyle w:val="Default"/>
        <w:jc w:val="both"/>
      </w:pPr>
    </w:p>
    <w:p w14:paraId="2E2F139A" w14:textId="404E5AC4" w:rsidR="00D361AF" w:rsidRDefault="006074F5" w:rsidP="0046675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both"/>
        <w:rPr>
          <w:rStyle w:val="None"/>
          <w:rFonts w:ascii="Times New Roman" w:hAnsi="Times New Roman"/>
          <w:color w:val="454545"/>
          <w:sz w:val="24"/>
          <w:szCs w:val="24"/>
          <w:u w:color="454545"/>
        </w:rPr>
      </w:pPr>
      <w:r>
        <w:rPr>
          <w:rStyle w:val="None"/>
          <w:rFonts w:ascii="Times New Roman" w:hAnsi="Times New Roman"/>
          <w:color w:val="454545"/>
          <w:sz w:val="24"/>
          <w:szCs w:val="24"/>
          <w:u w:color="454545"/>
        </w:rPr>
        <w:t>The symptoms caused by cyanot</w:t>
      </w:r>
      <w:r w:rsidR="003B0CD6">
        <w:rPr>
          <w:rStyle w:val="None"/>
          <w:rFonts w:ascii="Times New Roman" w:hAnsi="Times New Roman"/>
          <w:color w:val="454545"/>
          <w:sz w:val="24"/>
          <w:szCs w:val="24"/>
          <w:u w:color="454545"/>
        </w:rPr>
        <w:t xml:space="preserve">oxins are </w:t>
      </w:r>
      <w:r w:rsidR="00584307">
        <w:rPr>
          <w:rStyle w:val="None"/>
          <w:rFonts w:ascii="Times New Roman" w:hAnsi="Times New Roman"/>
          <w:color w:val="454545"/>
          <w:sz w:val="24"/>
          <w:szCs w:val="24"/>
          <w:u w:color="454545"/>
        </w:rPr>
        <w:t>like</w:t>
      </w:r>
      <w:r w:rsidR="003B0CD6">
        <w:rPr>
          <w:rStyle w:val="None"/>
          <w:rFonts w:ascii="Times New Roman" w:hAnsi="Times New Roman"/>
          <w:color w:val="454545"/>
          <w:sz w:val="24"/>
          <w:szCs w:val="24"/>
          <w:u w:color="454545"/>
        </w:rPr>
        <w:t xml:space="preserve"> </w:t>
      </w:r>
      <w:r w:rsidR="00AE3991">
        <w:rPr>
          <w:rStyle w:val="None"/>
          <w:rFonts w:ascii="Times New Roman" w:hAnsi="Times New Roman"/>
          <w:color w:val="454545"/>
          <w:sz w:val="24"/>
          <w:szCs w:val="24"/>
          <w:u w:color="454545"/>
        </w:rPr>
        <w:t xml:space="preserve">those of </w:t>
      </w:r>
      <w:r w:rsidR="003B0CD6">
        <w:rPr>
          <w:rStyle w:val="None"/>
          <w:rFonts w:ascii="Times New Roman" w:hAnsi="Times New Roman"/>
          <w:color w:val="454545"/>
          <w:sz w:val="24"/>
          <w:szCs w:val="24"/>
          <w:u w:color="454545"/>
        </w:rPr>
        <w:t>other bio</w:t>
      </w:r>
      <w:r>
        <w:rPr>
          <w:rStyle w:val="None"/>
          <w:rFonts w:ascii="Times New Roman" w:hAnsi="Times New Roman"/>
          <w:color w:val="454545"/>
          <w:sz w:val="24"/>
          <w:szCs w:val="24"/>
          <w:u w:color="454545"/>
        </w:rPr>
        <w:t xml:space="preserve">toxin-mediated illnesses.  As with other toxin molecules, the </w:t>
      </w:r>
      <w:r w:rsidR="00FA4498">
        <w:rPr>
          <w:rStyle w:val="None"/>
          <w:rFonts w:ascii="Times New Roman" w:hAnsi="Times New Roman"/>
          <w:color w:val="454545"/>
          <w:sz w:val="24"/>
          <w:szCs w:val="24"/>
          <w:u w:color="454545"/>
        </w:rPr>
        <w:t xml:space="preserve">many </w:t>
      </w:r>
      <w:r>
        <w:rPr>
          <w:rStyle w:val="None"/>
          <w:rFonts w:ascii="Times New Roman" w:hAnsi="Times New Roman"/>
          <w:color w:val="454545"/>
          <w:sz w:val="24"/>
          <w:szCs w:val="24"/>
          <w:u w:color="454545"/>
        </w:rPr>
        <w:t>cyanotoxins</w:t>
      </w:r>
      <w:r w:rsidR="00FA4498">
        <w:rPr>
          <w:rStyle w:val="None"/>
          <w:rFonts w:ascii="Times New Roman" w:hAnsi="Times New Roman"/>
          <w:color w:val="454545"/>
          <w:sz w:val="24"/>
          <w:szCs w:val="24"/>
          <w:u w:color="454545"/>
        </w:rPr>
        <w:t xml:space="preserve"> contain heterocy</w:t>
      </w:r>
      <w:r w:rsidR="00AE3991">
        <w:rPr>
          <w:rStyle w:val="None"/>
          <w:rFonts w:ascii="Times New Roman" w:hAnsi="Times New Roman"/>
          <w:color w:val="454545"/>
          <w:sz w:val="24"/>
          <w:szCs w:val="24"/>
          <w:u w:color="454545"/>
        </w:rPr>
        <w:t>c</w:t>
      </w:r>
      <w:r w:rsidR="00FA4498">
        <w:rPr>
          <w:rStyle w:val="None"/>
          <w:rFonts w:ascii="Times New Roman" w:hAnsi="Times New Roman"/>
          <w:color w:val="454545"/>
          <w:sz w:val="24"/>
          <w:szCs w:val="24"/>
          <w:u w:color="454545"/>
        </w:rPr>
        <w:t>lic rings</w:t>
      </w:r>
      <w:r w:rsidR="00D361AF">
        <w:rPr>
          <w:rStyle w:val="None"/>
          <w:rFonts w:ascii="Times New Roman" w:hAnsi="Times New Roman"/>
          <w:color w:val="454545"/>
          <w:sz w:val="24"/>
          <w:szCs w:val="24"/>
          <w:u w:color="454545"/>
        </w:rPr>
        <w:t>.</w:t>
      </w:r>
      <w:r>
        <w:rPr>
          <w:rStyle w:val="None"/>
          <w:rFonts w:ascii="Times New Roman" w:hAnsi="Times New Roman"/>
          <w:color w:val="454545"/>
          <w:sz w:val="24"/>
          <w:szCs w:val="24"/>
          <w:u w:color="454545"/>
        </w:rPr>
        <w:t xml:space="preserve"> </w:t>
      </w:r>
      <w:r w:rsidR="002F33CB">
        <w:rPr>
          <w:rStyle w:val="None"/>
          <w:rFonts w:ascii="Times New Roman" w:hAnsi="Times New Roman"/>
          <w:color w:val="454545"/>
          <w:sz w:val="24"/>
          <w:szCs w:val="24"/>
          <w:u w:color="454545"/>
        </w:rPr>
        <w:t>The</w:t>
      </w:r>
      <w:r>
        <w:rPr>
          <w:rStyle w:val="None"/>
          <w:rFonts w:ascii="Times New Roman" w:hAnsi="Times New Roman"/>
          <w:color w:val="454545"/>
          <w:sz w:val="24"/>
          <w:szCs w:val="24"/>
          <w:u w:color="454545"/>
        </w:rPr>
        <w:t xml:space="preserve"> shape of the anion ri</w:t>
      </w:r>
      <w:r w:rsidR="00D361AF">
        <w:rPr>
          <w:rStyle w:val="None"/>
          <w:rFonts w:ascii="Times New Roman" w:hAnsi="Times New Roman"/>
          <w:color w:val="454545"/>
          <w:sz w:val="24"/>
          <w:szCs w:val="24"/>
          <w:u w:color="454545"/>
        </w:rPr>
        <w:t>ng varies based on the</w:t>
      </w:r>
      <w:r>
        <w:rPr>
          <w:rStyle w:val="None"/>
          <w:rFonts w:ascii="Times New Roman" w:hAnsi="Times New Roman"/>
          <w:color w:val="454545"/>
          <w:sz w:val="24"/>
          <w:szCs w:val="24"/>
          <w:u w:color="454545"/>
        </w:rPr>
        <w:t xml:space="preserve"> species creating t</w:t>
      </w:r>
      <w:r w:rsidR="00D361AF">
        <w:rPr>
          <w:rStyle w:val="None"/>
          <w:rFonts w:ascii="Times New Roman" w:hAnsi="Times New Roman"/>
          <w:color w:val="454545"/>
          <w:sz w:val="24"/>
          <w:szCs w:val="24"/>
          <w:u w:color="454545"/>
        </w:rPr>
        <w:t>he toxin (9).  The hepatotoxins are</w:t>
      </w:r>
      <w:r>
        <w:rPr>
          <w:rStyle w:val="None"/>
          <w:rFonts w:ascii="Times New Roman" w:hAnsi="Times New Roman"/>
          <w:color w:val="454545"/>
          <w:sz w:val="24"/>
          <w:szCs w:val="24"/>
          <w:u w:color="454545"/>
        </w:rPr>
        <w:t xml:space="preserve"> the most commonly found cyanotoxins</w:t>
      </w:r>
      <w:r w:rsidR="00D361AF">
        <w:rPr>
          <w:rStyle w:val="None"/>
          <w:rFonts w:ascii="Times New Roman" w:hAnsi="Times New Roman"/>
          <w:color w:val="454545"/>
          <w:sz w:val="24"/>
          <w:szCs w:val="24"/>
          <w:u w:color="454545"/>
        </w:rPr>
        <w:t>.</w:t>
      </w:r>
    </w:p>
    <w:p w14:paraId="7BE4A5E3" w14:textId="77777777" w:rsidR="00D361AF" w:rsidRDefault="00D361AF" w:rsidP="0046675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both"/>
        <w:rPr>
          <w:rStyle w:val="None"/>
          <w:rFonts w:ascii="Times New Roman" w:hAnsi="Times New Roman"/>
          <w:color w:val="454545"/>
          <w:sz w:val="24"/>
          <w:szCs w:val="24"/>
          <w:u w:color="454545"/>
        </w:rPr>
      </w:pPr>
    </w:p>
    <w:p w14:paraId="7D0E4648" w14:textId="01F902B5" w:rsidR="00185232" w:rsidRDefault="00D361AF" w:rsidP="0046675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both"/>
      </w:pPr>
      <w:r>
        <w:rPr>
          <w:rStyle w:val="None"/>
          <w:rFonts w:ascii="Times New Roman" w:hAnsi="Times New Roman"/>
          <w:color w:val="454545"/>
          <w:sz w:val="24"/>
          <w:szCs w:val="24"/>
          <w:u w:color="454545"/>
        </w:rPr>
        <w:t>M</w:t>
      </w:r>
      <w:r w:rsidR="006074F5">
        <w:rPr>
          <w:rStyle w:val="None"/>
          <w:rFonts w:ascii="Times New Roman" w:hAnsi="Times New Roman"/>
          <w:color w:val="454545"/>
          <w:sz w:val="24"/>
          <w:szCs w:val="24"/>
          <w:u w:color="454545"/>
        </w:rPr>
        <w:t>icrocystin</w:t>
      </w:r>
      <w:r w:rsidR="006F44EF">
        <w:rPr>
          <w:rStyle w:val="None"/>
          <w:rFonts w:ascii="Times New Roman" w:hAnsi="Times New Roman"/>
          <w:color w:val="454545"/>
          <w:sz w:val="24"/>
          <w:szCs w:val="24"/>
          <w:u w:color="454545"/>
        </w:rPr>
        <w:t>,</w:t>
      </w:r>
      <w:r w:rsidR="006074F5">
        <w:rPr>
          <w:rStyle w:val="None"/>
          <w:rFonts w:ascii="Times New Roman" w:hAnsi="Times New Roman"/>
          <w:color w:val="454545"/>
          <w:sz w:val="24"/>
          <w:szCs w:val="24"/>
          <w:u w:color="454545"/>
        </w:rPr>
        <w:t xml:space="preserve"> named because it was first isolated from </w:t>
      </w:r>
      <w:r w:rsidR="006074F5">
        <w:rPr>
          <w:rStyle w:val="None"/>
          <w:rFonts w:ascii="Times New Roman" w:hAnsi="Times New Roman"/>
          <w:i/>
          <w:iCs/>
          <w:color w:val="454545"/>
          <w:sz w:val="24"/>
          <w:szCs w:val="24"/>
          <w:u w:color="454545"/>
          <w:lang w:val="it-IT"/>
        </w:rPr>
        <w:t>Microcystis aeruginosa</w:t>
      </w:r>
      <w:r w:rsidR="006074F5">
        <w:rPr>
          <w:rStyle w:val="None"/>
          <w:rFonts w:ascii="Times New Roman" w:hAnsi="Times New Roman"/>
          <w:i/>
          <w:iCs/>
          <w:color w:val="454545"/>
          <w:sz w:val="24"/>
          <w:szCs w:val="24"/>
          <w:u w:color="454545"/>
        </w:rPr>
        <w:t xml:space="preserve"> </w:t>
      </w:r>
      <w:r w:rsidR="006074F5">
        <w:rPr>
          <w:rStyle w:val="None"/>
          <w:rFonts w:ascii="Times New Roman" w:hAnsi="Times New Roman"/>
          <w:color w:val="454545"/>
          <w:sz w:val="24"/>
          <w:szCs w:val="24"/>
          <w:u w:color="454545"/>
        </w:rPr>
        <w:t>(10)</w:t>
      </w:r>
      <w:r w:rsidR="006F44EF">
        <w:rPr>
          <w:rStyle w:val="None"/>
          <w:rFonts w:ascii="Times New Roman" w:hAnsi="Times New Roman"/>
          <w:color w:val="454545"/>
          <w:sz w:val="24"/>
          <w:szCs w:val="24"/>
          <w:u w:color="454545"/>
        </w:rPr>
        <w:t>,</w:t>
      </w:r>
      <w:r w:rsidR="006074F5">
        <w:rPr>
          <w:rStyle w:val="None"/>
          <w:rFonts w:ascii="Times New Roman" w:hAnsi="Times New Roman"/>
          <w:color w:val="454545"/>
          <w:sz w:val="24"/>
          <w:szCs w:val="24"/>
          <w:u w:color="454545"/>
        </w:rPr>
        <w:t xml:space="preserve"> and </w:t>
      </w:r>
      <w:r w:rsidR="00AE3991">
        <w:rPr>
          <w:rStyle w:val="None"/>
          <w:rFonts w:ascii="Times New Roman" w:hAnsi="Times New Roman"/>
          <w:color w:val="454545"/>
          <w:sz w:val="24"/>
          <w:szCs w:val="24"/>
          <w:u w:color="454545"/>
        </w:rPr>
        <w:t>nodularin</w:t>
      </w:r>
      <w:r w:rsidR="006074F5">
        <w:rPr>
          <w:rStyle w:val="None"/>
          <w:rFonts w:ascii="Times New Roman" w:hAnsi="Times New Roman"/>
          <w:color w:val="454545"/>
          <w:sz w:val="24"/>
          <w:szCs w:val="24"/>
          <w:u w:color="454545"/>
        </w:rPr>
        <w:t>, isolated from the cyanobacteria </w:t>
      </w:r>
      <w:r w:rsidR="006074F5">
        <w:rPr>
          <w:rStyle w:val="None"/>
          <w:rFonts w:ascii="Times New Roman" w:hAnsi="Times New Roman"/>
          <w:i/>
          <w:iCs/>
          <w:color w:val="454545"/>
          <w:sz w:val="24"/>
          <w:szCs w:val="24"/>
          <w:u w:color="454545"/>
          <w:lang w:val="it-IT"/>
        </w:rPr>
        <w:t>Nodularia spumigena,</w:t>
      </w:r>
      <w:r w:rsidR="006074F5">
        <w:rPr>
          <w:rStyle w:val="None"/>
          <w:rFonts w:ascii="Times New Roman" w:hAnsi="Times New Roman"/>
          <w:color w:val="454545"/>
          <w:sz w:val="24"/>
          <w:szCs w:val="24"/>
          <w:u w:color="454545"/>
        </w:rPr>
        <w:t xml:space="preserve"> are cyclic peptides with seven amino acids and five amino acids respectively.  </w:t>
      </w:r>
    </w:p>
    <w:p w14:paraId="27AB3BF5" w14:textId="77777777" w:rsidR="00185232" w:rsidRDefault="00185232" w:rsidP="0046675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both"/>
      </w:pPr>
    </w:p>
    <w:p w14:paraId="6F27ECF5" w14:textId="441AF3C1" w:rsidR="00185232" w:rsidRDefault="006074F5" w:rsidP="0046675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both"/>
      </w:pPr>
      <w:r>
        <w:rPr>
          <w:rStyle w:val="None"/>
          <w:rFonts w:ascii="Times New Roman" w:hAnsi="Times New Roman"/>
          <w:color w:val="454545"/>
          <w:sz w:val="24"/>
          <w:szCs w:val="24"/>
          <w:u w:color="454545"/>
        </w:rPr>
        <w:t xml:space="preserve">Over 60 different types of </w:t>
      </w:r>
      <w:r w:rsidR="00AE3991">
        <w:rPr>
          <w:rStyle w:val="None"/>
          <w:rFonts w:ascii="Times New Roman" w:hAnsi="Times New Roman"/>
          <w:color w:val="454545"/>
          <w:sz w:val="24"/>
          <w:szCs w:val="24"/>
          <w:u w:color="454545"/>
        </w:rPr>
        <w:t>microcystin</w:t>
      </w:r>
      <w:r>
        <w:rPr>
          <w:rStyle w:val="None"/>
          <w:rFonts w:ascii="Times New Roman" w:hAnsi="Times New Roman"/>
          <w:color w:val="454545"/>
          <w:sz w:val="24"/>
          <w:szCs w:val="24"/>
          <w:u w:color="454545"/>
        </w:rPr>
        <w:t xml:space="preserve"> have been isolated from the species of </w:t>
      </w:r>
      <w:r>
        <w:rPr>
          <w:rStyle w:val="None"/>
          <w:rFonts w:ascii="Times New Roman" w:hAnsi="Times New Roman"/>
          <w:i/>
          <w:iCs/>
          <w:color w:val="454545"/>
          <w:sz w:val="24"/>
          <w:szCs w:val="24"/>
          <w:u w:color="454545"/>
          <w:lang w:val="es-ES_tradnl"/>
        </w:rPr>
        <w:t>Anabaena</w:t>
      </w:r>
      <w:r>
        <w:rPr>
          <w:rStyle w:val="None"/>
          <w:rFonts w:ascii="Times New Roman" w:hAnsi="Times New Roman"/>
          <w:color w:val="454545"/>
          <w:sz w:val="24"/>
          <w:szCs w:val="24"/>
          <w:u w:color="454545"/>
        </w:rPr>
        <w:t xml:space="preserve">, </w:t>
      </w:r>
      <w:r>
        <w:rPr>
          <w:rStyle w:val="None"/>
          <w:rFonts w:ascii="Times New Roman" w:hAnsi="Times New Roman"/>
          <w:i/>
          <w:iCs/>
          <w:color w:val="454545"/>
          <w:sz w:val="24"/>
          <w:szCs w:val="24"/>
          <w:u w:color="454545"/>
        </w:rPr>
        <w:t>Hapalasiphon</w:t>
      </w:r>
      <w:r>
        <w:rPr>
          <w:rStyle w:val="None"/>
          <w:rFonts w:ascii="Times New Roman" w:hAnsi="Times New Roman"/>
          <w:color w:val="454545"/>
          <w:sz w:val="24"/>
          <w:szCs w:val="24"/>
          <w:u w:color="454545"/>
        </w:rPr>
        <w:t xml:space="preserve">, </w:t>
      </w:r>
      <w:r>
        <w:rPr>
          <w:rStyle w:val="None"/>
          <w:rFonts w:ascii="Times New Roman" w:hAnsi="Times New Roman"/>
          <w:i/>
          <w:iCs/>
          <w:color w:val="454545"/>
          <w:sz w:val="24"/>
          <w:szCs w:val="24"/>
          <w:u w:color="454545"/>
        </w:rPr>
        <w:t>Microcystis</w:t>
      </w:r>
      <w:r>
        <w:rPr>
          <w:rStyle w:val="None"/>
          <w:rFonts w:ascii="Times New Roman" w:hAnsi="Times New Roman"/>
          <w:color w:val="454545"/>
          <w:sz w:val="24"/>
          <w:szCs w:val="24"/>
          <w:u w:color="454545"/>
        </w:rPr>
        <w:t xml:space="preserve">, </w:t>
      </w:r>
      <w:r>
        <w:rPr>
          <w:rStyle w:val="None"/>
          <w:rFonts w:ascii="Times New Roman" w:hAnsi="Times New Roman"/>
          <w:i/>
          <w:iCs/>
          <w:color w:val="454545"/>
          <w:sz w:val="24"/>
          <w:szCs w:val="24"/>
          <w:u w:color="454545"/>
          <w:lang w:val="pt-PT"/>
        </w:rPr>
        <w:t>Nostoc</w:t>
      </w:r>
      <w:r>
        <w:rPr>
          <w:rStyle w:val="None"/>
          <w:rFonts w:ascii="Times New Roman" w:hAnsi="Times New Roman"/>
          <w:i/>
          <w:iCs/>
          <w:color w:val="454545"/>
          <w:sz w:val="24"/>
          <w:szCs w:val="24"/>
          <w:u w:color="454545"/>
        </w:rPr>
        <w:t xml:space="preserve">, </w:t>
      </w:r>
      <w:r>
        <w:rPr>
          <w:rStyle w:val="None"/>
          <w:rFonts w:ascii="Times New Roman" w:hAnsi="Times New Roman"/>
          <w:i/>
          <w:iCs/>
          <w:color w:val="454545"/>
          <w:sz w:val="24"/>
          <w:szCs w:val="24"/>
          <w:u w:color="454545"/>
          <w:lang w:val="it-IT"/>
        </w:rPr>
        <w:t>Oscillatoria</w:t>
      </w:r>
      <w:r>
        <w:rPr>
          <w:rStyle w:val="None"/>
          <w:rFonts w:ascii="Times New Roman" w:hAnsi="Times New Roman"/>
          <w:i/>
          <w:iCs/>
          <w:color w:val="454545"/>
          <w:sz w:val="24"/>
          <w:szCs w:val="24"/>
          <w:u w:color="454545"/>
        </w:rPr>
        <w:t xml:space="preserve"> </w:t>
      </w:r>
      <w:r>
        <w:rPr>
          <w:rStyle w:val="None"/>
          <w:rFonts w:ascii="Times New Roman" w:hAnsi="Times New Roman"/>
          <w:color w:val="454545"/>
          <w:sz w:val="24"/>
          <w:szCs w:val="24"/>
          <w:u w:color="454545"/>
        </w:rPr>
        <w:t>and</w:t>
      </w:r>
      <w:r>
        <w:rPr>
          <w:rStyle w:val="None"/>
          <w:rFonts w:ascii="Times New Roman" w:hAnsi="Times New Roman"/>
          <w:i/>
          <w:iCs/>
          <w:color w:val="454545"/>
          <w:sz w:val="24"/>
          <w:szCs w:val="24"/>
          <w:u w:color="454545"/>
        </w:rPr>
        <w:t xml:space="preserve"> Anabaenopsis.  </w:t>
      </w:r>
      <w:r>
        <w:rPr>
          <w:rStyle w:val="None"/>
          <w:rFonts w:ascii="Times New Roman" w:hAnsi="Times New Roman"/>
          <w:color w:val="454545"/>
          <w:sz w:val="24"/>
          <w:szCs w:val="24"/>
          <w:u w:color="454545"/>
        </w:rPr>
        <w:t>The anatoxins and sax</w:t>
      </w:r>
      <w:r w:rsidR="006F44EF">
        <w:rPr>
          <w:rStyle w:val="None"/>
          <w:rFonts w:ascii="Times New Roman" w:hAnsi="Times New Roman"/>
          <w:color w:val="454545"/>
          <w:sz w:val="24"/>
          <w:szCs w:val="24"/>
          <w:u w:color="454545"/>
        </w:rPr>
        <w:t>i</w:t>
      </w:r>
      <w:r>
        <w:rPr>
          <w:rStyle w:val="None"/>
          <w:rFonts w:ascii="Times New Roman" w:hAnsi="Times New Roman"/>
          <w:color w:val="454545"/>
          <w:sz w:val="24"/>
          <w:szCs w:val="24"/>
          <w:u w:color="454545"/>
        </w:rPr>
        <w:t>toxins are a</w:t>
      </w:r>
      <w:r>
        <w:rPr>
          <w:rStyle w:val="None"/>
          <w:rFonts w:ascii="Times New Roman" w:hAnsi="Times New Roman"/>
          <w:color w:val="454545"/>
          <w:sz w:val="24"/>
          <w:szCs w:val="24"/>
          <w:u w:color="454545"/>
          <w:lang w:val="fr-FR"/>
        </w:rPr>
        <w:t>lkaloids, contain</w:t>
      </w:r>
      <w:r>
        <w:rPr>
          <w:rStyle w:val="None"/>
          <w:rFonts w:ascii="Times New Roman" w:hAnsi="Times New Roman"/>
          <w:color w:val="454545"/>
          <w:sz w:val="24"/>
          <w:szCs w:val="24"/>
          <w:u w:color="454545"/>
        </w:rPr>
        <w:t xml:space="preserve">ing ring structures with at least one carbon-nitrogen bond and have been isolated from the species of </w:t>
      </w:r>
      <w:r>
        <w:rPr>
          <w:rStyle w:val="None"/>
          <w:rFonts w:ascii="Times New Roman" w:hAnsi="Times New Roman"/>
          <w:i/>
          <w:iCs/>
          <w:color w:val="454545"/>
          <w:sz w:val="24"/>
          <w:szCs w:val="24"/>
          <w:u w:color="454545"/>
          <w:lang w:val="it-IT"/>
        </w:rPr>
        <w:t>Anabaena, Oscillatoria, Aphanizomenon</w:t>
      </w:r>
      <w:r>
        <w:rPr>
          <w:rStyle w:val="None"/>
          <w:rFonts w:ascii="Times New Roman" w:hAnsi="Times New Roman"/>
          <w:i/>
          <w:iCs/>
          <w:color w:val="454545"/>
          <w:sz w:val="24"/>
          <w:szCs w:val="24"/>
          <w:u w:color="454545"/>
        </w:rPr>
        <w:t xml:space="preserve">, </w:t>
      </w:r>
      <w:r>
        <w:rPr>
          <w:rStyle w:val="None"/>
          <w:rFonts w:ascii="Times New Roman" w:hAnsi="Times New Roman"/>
          <w:i/>
          <w:iCs/>
          <w:color w:val="454545"/>
          <w:sz w:val="24"/>
          <w:szCs w:val="24"/>
          <w:u w:color="454545"/>
          <w:lang w:val="it-IT"/>
        </w:rPr>
        <w:t>Lyngbya, Schizothrix, Cylindrospermopsis</w:t>
      </w:r>
      <w:r>
        <w:rPr>
          <w:rStyle w:val="None"/>
          <w:rFonts w:ascii="Times New Roman" w:hAnsi="Times New Roman"/>
          <w:i/>
          <w:iCs/>
          <w:color w:val="454545"/>
          <w:sz w:val="24"/>
          <w:szCs w:val="24"/>
          <w:u w:color="454545"/>
        </w:rPr>
        <w:t xml:space="preserve"> </w:t>
      </w:r>
      <w:r>
        <w:rPr>
          <w:rStyle w:val="None"/>
          <w:rFonts w:ascii="Times New Roman" w:hAnsi="Times New Roman"/>
          <w:color w:val="454545"/>
          <w:sz w:val="24"/>
          <w:szCs w:val="24"/>
          <w:u w:color="454545"/>
        </w:rPr>
        <w:t>and</w:t>
      </w:r>
      <w:r>
        <w:rPr>
          <w:rStyle w:val="None"/>
          <w:rFonts w:ascii="Times New Roman" w:hAnsi="Times New Roman"/>
          <w:i/>
          <w:iCs/>
          <w:color w:val="454545"/>
          <w:sz w:val="24"/>
          <w:szCs w:val="24"/>
          <w:u w:color="454545"/>
        </w:rPr>
        <w:t xml:space="preserve"> Umezakia.</w:t>
      </w:r>
      <w:r>
        <w:rPr>
          <w:rStyle w:val="None"/>
          <w:rFonts w:ascii="Times New Roman" w:hAnsi="Times New Roman"/>
          <w:color w:val="454545"/>
          <w:sz w:val="24"/>
          <w:szCs w:val="24"/>
          <w:u w:color="454545"/>
        </w:rPr>
        <w:t xml:space="preserve">  Species may or may not be toxic and even within a single-species bloom there may be a mixture of</w:t>
      </w:r>
      <w:r w:rsidR="00D361AF">
        <w:rPr>
          <w:rStyle w:val="None"/>
          <w:rFonts w:ascii="Times New Roman" w:hAnsi="Times New Roman"/>
          <w:color w:val="454545"/>
          <w:sz w:val="24"/>
          <w:szCs w:val="24"/>
          <w:u w:color="454545"/>
        </w:rPr>
        <w:t xml:space="preserve"> toxic and non-toxic strains (11). </w:t>
      </w:r>
      <w:r>
        <w:rPr>
          <w:rStyle w:val="None"/>
          <w:rFonts w:ascii="Times New Roman" w:hAnsi="Times New Roman"/>
          <w:color w:val="454545"/>
          <w:sz w:val="24"/>
          <w:szCs w:val="24"/>
          <w:u w:color="454545"/>
        </w:rPr>
        <w:t>Cyanotoxins, like other toxin molecules, can be bound by CSM</w:t>
      </w:r>
      <w:r w:rsidR="003B0CD6">
        <w:rPr>
          <w:rStyle w:val="None"/>
          <w:rFonts w:ascii="Times New Roman" w:hAnsi="Times New Roman"/>
          <w:color w:val="454545"/>
          <w:sz w:val="24"/>
          <w:szCs w:val="24"/>
          <w:u w:color="454545"/>
        </w:rPr>
        <w:t xml:space="preserve"> (12)</w:t>
      </w:r>
      <w:r>
        <w:rPr>
          <w:rStyle w:val="None"/>
          <w:rFonts w:ascii="Times New Roman" w:hAnsi="Times New Roman"/>
          <w:color w:val="454545"/>
          <w:sz w:val="24"/>
          <w:szCs w:val="24"/>
          <w:u w:color="454545"/>
          <w:lang w:val="nl-NL"/>
        </w:rPr>
        <w:t xml:space="preserve">. </w:t>
      </w:r>
    </w:p>
    <w:p w14:paraId="69BA73BA" w14:textId="77777777" w:rsidR="00185232" w:rsidRDefault="00185232" w:rsidP="0046675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both"/>
      </w:pPr>
    </w:p>
    <w:p w14:paraId="3BF07723" w14:textId="718B9464" w:rsidR="00D95CE2" w:rsidRDefault="006074F5" w:rsidP="00466750">
      <w:pPr>
        <w:pStyle w:val="BodyA"/>
        <w:spacing w:after="0"/>
        <w:jc w:val="both"/>
      </w:pPr>
      <w:r>
        <w:rPr>
          <w:rStyle w:val="None"/>
          <w:rFonts w:ascii="Times New Roman" w:hAnsi="Times New Roman"/>
          <w:color w:val="454545"/>
          <w:sz w:val="24"/>
          <w:szCs w:val="24"/>
          <w:u w:color="454545"/>
          <w:lang w:val="nl-NL"/>
        </w:rPr>
        <w:t xml:space="preserve">A unique cyanotoxin, BMAA, has been associated with neurologic deterioration following consumption on the island of Guam. Once thought to be related to consumption of fruit bats by the native Chamorro tribes, the cyanotoxicity, formed by root-dwelling Nostoc species in cycads, may be due to concentration of BMAA in seeds. Cycads seeds are ground into flour. Sorting out illness causation on Guam is confounded by ciguatera and moldy buildings. Detection of BMAA is </w:t>
      </w:r>
      <w:r w:rsidR="003B0CD6">
        <w:rPr>
          <w:rStyle w:val="None"/>
          <w:rFonts w:ascii="Times New Roman" w:hAnsi="Times New Roman"/>
          <w:color w:val="454545"/>
          <w:sz w:val="24"/>
          <w:szCs w:val="24"/>
          <w:u w:color="454545"/>
          <w:lang w:val="nl-NL"/>
        </w:rPr>
        <w:t>expensive and time-consuming (13</w:t>
      </w:r>
      <w:r>
        <w:rPr>
          <w:rStyle w:val="None"/>
          <w:rFonts w:ascii="Times New Roman" w:hAnsi="Times New Roman"/>
          <w:color w:val="454545"/>
          <w:sz w:val="24"/>
          <w:szCs w:val="24"/>
          <w:u w:color="454545"/>
          <w:lang w:val="nl-NL"/>
        </w:rPr>
        <w:t>).</w:t>
      </w:r>
    </w:p>
    <w:p w14:paraId="01D335EA" w14:textId="77777777" w:rsidR="00D95CE2" w:rsidRDefault="00D95CE2" w:rsidP="00466750">
      <w:pPr>
        <w:pStyle w:val="BodyA"/>
        <w:spacing w:after="0"/>
        <w:jc w:val="both"/>
      </w:pPr>
    </w:p>
    <w:p w14:paraId="7524E8D5" w14:textId="2F4F6828" w:rsidR="00185232" w:rsidRDefault="006074F5" w:rsidP="00466750">
      <w:pPr>
        <w:pStyle w:val="BodyA"/>
        <w:spacing w:after="0"/>
        <w:jc w:val="both"/>
      </w:pPr>
      <w:r>
        <w:rPr>
          <w:rStyle w:val="None"/>
          <w:rFonts w:ascii="Times New Roman" w:hAnsi="Times New Roman"/>
          <w:b/>
          <w:bCs/>
          <w:sz w:val="28"/>
          <w:szCs w:val="28"/>
        </w:rPr>
        <w:t>Section 12</w:t>
      </w:r>
      <w:r w:rsidR="00957ABB">
        <w:rPr>
          <w:rStyle w:val="None"/>
          <w:rFonts w:ascii="Times New Roman" w:hAnsi="Times New Roman"/>
          <w:b/>
          <w:bCs/>
          <w:sz w:val="28"/>
          <w:szCs w:val="28"/>
        </w:rPr>
        <w:t>.</w:t>
      </w:r>
      <w:r>
        <w:rPr>
          <w:rStyle w:val="None"/>
          <w:rFonts w:ascii="Times New Roman" w:hAnsi="Times New Roman"/>
          <w:b/>
          <w:bCs/>
          <w:sz w:val="28"/>
          <w:szCs w:val="28"/>
        </w:rPr>
        <w:t xml:space="preserve"> Differential diagnosis</w:t>
      </w:r>
    </w:p>
    <w:p w14:paraId="240533F6" w14:textId="77777777" w:rsidR="00185232" w:rsidRDefault="006074F5" w:rsidP="00466750">
      <w:pPr>
        <w:pStyle w:val="BodyA"/>
        <w:jc w:val="both"/>
      </w:pPr>
      <w:r>
        <w:rPr>
          <w:rStyle w:val="None"/>
          <w:rFonts w:ascii="Times New Roman" w:hAnsi="Times New Roman"/>
          <w:sz w:val="24"/>
          <w:szCs w:val="24"/>
        </w:rPr>
        <w:t xml:space="preserve">The differential diagnosis of CIRS has been likened to a differential diagnosis of all medical illness. CIRS is a systemic problem: it is not organ-based so much as it is body-based. Practically any disease, any disease mechanism, any perturbation of inflammation can theoretically be seen in CIRS. </w:t>
      </w:r>
    </w:p>
    <w:p w14:paraId="76A7233B" w14:textId="57348FA1" w:rsidR="00185232" w:rsidRDefault="006074F5" w:rsidP="00466750">
      <w:pPr>
        <w:pStyle w:val="BodyA"/>
        <w:jc w:val="both"/>
      </w:pPr>
      <w:r>
        <w:rPr>
          <w:rStyle w:val="None"/>
          <w:rFonts w:ascii="Times New Roman" w:hAnsi="Times New Roman"/>
          <w:sz w:val="24"/>
          <w:szCs w:val="24"/>
        </w:rPr>
        <w:t>Differential diagnosis is a process essentially of sorting; taking what fits and separating out what does</w:t>
      </w:r>
      <w:r w:rsidR="0094261D">
        <w:rPr>
          <w:rStyle w:val="None"/>
          <w:rFonts w:ascii="Times New Roman" w:hAnsi="Times New Roman"/>
          <w:sz w:val="24"/>
          <w:szCs w:val="24"/>
        </w:rPr>
        <w:t xml:space="preserve"> </w:t>
      </w:r>
      <w:r>
        <w:rPr>
          <w:rStyle w:val="None"/>
          <w:rFonts w:ascii="Times New Roman" w:hAnsi="Times New Roman"/>
          <w:sz w:val="24"/>
          <w:szCs w:val="24"/>
        </w:rPr>
        <w:t>n</w:t>
      </w:r>
      <w:r w:rsidR="0094261D">
        <w:rPr>
          <w:rStyle w:val="None"/>
          <w:rFonts w:ascii="Times New Roman" w:hAnsi="Times New Roman"/>
          <w:sz w:val="24"/>
          <w:szCs w:val="24"/>
        </w:rPr>
        <w:t>o</w:t>
      </w:r>
      <w:r>
        <w:rPr>
          <w:rStyle w:val="None"/>
          <w:rFonts w:ascii="Times New Roman" w:hAnsi="Times New Roman"/>
          <w:sz w:val="24"/>
          <w:szCs w:val="24"/>
        </w:rPr>
        <w:t>t fit. Since all inflammation can be seen in CIRS, the process of sorting can be quite complex.</w:t>
      </w:r>
    </w:p>
    <w:p w14:paraId="04FF777D" w14:textId="5CCAD5A6" w:rsidR="00185232" w:rsidRDefault="006074F5" w:rsidP="00466750">
      <w:pPr>
        <w:pStyle w:val="BodyA"/>
        <w:jc w:val="both"/>
      </w:pPr>
      <w:r>
        <w:rPr>
          <w:rStyle w:val="None"/>
          <w:rFonts w:ascii="Times New Roman" w:hAnsi="Times New Roman"/>
          <w:sz w:val="24"/>
          <w:szCs w:val="24"/>
        </w:rPr>
        <w:t>Begin the sorting process by recognizing that CIRS cases must meet a published, peer-reviewed case definition. There will be potential for exposure identified. The first question in differential diagnosis is, is there exposure to a water-damaged building? Is there exposure to a source of biotoxins? If not, is there no</w:t>
      </w:r>
      <w:r>
        <w:rPr>
          <w:rStyle w:val="None"/>
          <w:rFonts w:ascii="Times New Roman" w:hAnsi="Times New Roman"/>
          <w:i/>
          <w:iCs/>
          <w:sz w:val="24"/>
          <w:szCs w:val="24"/>
          <w:u w:val="single"/>
        </w:rPr>
        <w:t xml:space="preserve"> potential for exposure</w:t>
      </w:r>
      <w:r>
        <w:rPr>
          <w:rStyle w:val="None"/>
          <w:rFonts w:ascii="Times New Roman" w:hAnsi="Times New Roman"/>
          <w:sz w:val="24"/>
          <w:szCs w:val="24"/>
        </w:rPr>
        <w:t xml:space="preserve">? What this means is that it is very hard to remember in a 20-year illness what building one might have been in 20 years ago, as we have seen repeatedly in cases of chronic ciguatera. </w:t>
      </w:r>
      <w:r>
        <w:rPr>
          <w:rStyle w:val="None"/>
          <w:rFonts w:ascii="Times New Roman" w:hAnsi="Times New Roman"/>
          <w:sz w:val="24"/>
          <w:szCs w:val="24"/>
          <w:lang w:val="sv-SE"/>
        </w:rPr>
        <w:t>Often</w:t>
      </w:r>
      <w:r>
        <w:rPr>
          <w:rStyle w:val="None"/>
          <w:rFonts w:ascii="Times New Roman" w:hAnsi="Times New Roman"/>
          <w:sz w:val="24"/>
          <w:szCs w:val="24"/>
        </w:rPr>
        <w:t xml:space="preserve"> people will forget what they ate and when they ate it in relationship to a disease. The problem is even worse with Lyme disease i</w:t>
      </w:r>
      <w:r w:rsidR="00AF2134">
        <w:rPr>
          <w:rStyle w:val="None"/>
          <w:rFonts w:ascii="Times New Roman" w:hAnsi="Times New Roman"/>
          <w:sz w:val="24"/>
          <w:szCs w:val="24"/>
        </w:rPr>
        <w:t>n</w:t>
      </w:r>
      <w:r>
        <w:rPr>
          <w:rStyle w:val="None"/>
          <w:rFonts w:ascii="Times New Roman" w:hAnsi="Times New Roman"/>
          <w:sz w:val="24"/>
          <w:szCs w:val="24"/>
        </w:rPr>
        <w:t xml:space="preserve"> that some people will not remember a tick bite but still can have Lyme. Other people will have a tick bite but no Lyme rash (erythema migrans). In Lyme, we end up being forced to rely on an inherently flawed antibody test as opposed to a physiologic test to assist us in diagnosis. </w:t>
      </w:r>
    </w:p>
    <w:p w14:paraId="57979CFF" w14:textId="26431A9D" w:rsidR="00185232" w:rsidRDefault="006074F5" w:rsidP="00466750">
      <w:pPr>
        <w:pStyle w:val="BodyA"/>
        <w:jc w:val="both"/>
      </w:pPr>
      <w:r>
        <w:rPr>
          <w:rStyle w:val="None"/>
          <w:rFonts w:ascii="Times New Roman" w:hAnsi="Times New Roman"/>
          <w:sz w:val="24"/>
          <w:szCs w:val="24"/>
        </w:rPr>
        <w:t xml:space="preserve">If the potential for exposure can be satisfied, the next requirement is that we have a multi- system, multi-symptom illness. In turn, the symptoms must meet the </w:t>
      </w:r>
      <w:r>
        <w:rPr>
          <w:rStyle w:val="None"/>
          <w:rFonts w:ascii="Times New Roman" w:hAnsi="Times New Roman"/>
          <w:sz w:val="24"/>
          <w:szCs w:val="24"/>
          <w:lang w:val="it-IT"/>
        </w:rPr>
        <w:t>criteria f</w:t>
      </w:r>
      <w:r>
        <w:rPr>
          <w:rStyle w:val="None"/>
          <w:rFonts w:ascii="Times New Roman" w:hAnsi="Times New Roman"/>
          <w:sz w:val="24"/>
          <w:szCs w:val="24"/>
        </w:rPr>
        <w:t>rom cluster analysis. The sorting process is now becoming clearer in that</w:t>
      </w:r>
      <w:r w:rsidR="00AF2134">
        <w:rPr>
          <w:rStyle w:val="None"/>
          <w:rFonts w:ascii="Times New Roman" w:hAnsi="Times New Roman"/>
          <w:sz w:val="24"/>
          <w:szCs w:val="24"/>
        </w:rPr>
        <w:t>,</w:t>
      </w:r>
      <w:r>
        <w:rPr>
          <w:rStyle w:val="None"/>
          <w:rFonts w:ascii="Times New Roman" w:hAnsi="Times New Roman"/>
          <w:sz w:val="24"/>
          <w:szCs w:val="24"/>
        </w:rPr>
        <w:t xml:space="preserve"> if one does not have a multi-system, multi-symptom illness, they do</w:t>
      </w:r>
      <w:r w:rsidR="00AF2134">
        <w:rPr>
          <w:rStyle w:val="None"/>
          <w:rFonts w:ascii="Times New Roman" w:hAnsi="Times New Roman"/>
          <w:sz w:val="24"/>
          <w:szCs w:val="24"/>
        </w:rPr>
        <w:t xml:space="preserve"> no</w:t>
      </w:r>
      <w:r>
        <w:rPr>
          <w:rStyle w:val="None"/>
          <w:rFonts w:ascii="Times New Roman" w:hAnsi="Times New Roman"/>
          <w:sz w:val="24"/>
          <w:szCs w:val="24"/>
        </w:rPr>
        <w:t>t have a CIRS. If they do</w:t>
      </w:r>
      <w:r w:rsidR="00AF2134">
        <w:rPr>
          <w:rStyle w:val="None"/>
          <w:rFonts w:ascii="Times New Roman" w:hAnsi="Times New Roman"/>
          <w:sz w:val="24"/>
          <w:szCs w:val="24"/>
        </w:rPr>
        <w:t xml:space="preserve"> no</w:t>
      </w:r>
      <w:r>
        <w:rPr>
          <w:rStyle w:val="None"/>
          <w:rFonts w:ascii="Times New Roman" w:hAnsi="Times New Roman"/>
          <w:sz w:val="24"/>
          <w:szCs w:val="24"/>
        </w:rPr>
        <w:t>t have eight symptom clusters as an adult, or 6 as a child, it is likely that they do</w:t>
      </w:r>
      <w:r w:rsidR="00AF2134">
        <w:rPr>
          <w:rStyle w:val="None"/>
          <w:rFonts w:ascii="Times New Roman" w:hAnsi="Times New Roman"/>
          <w:sz w:val="24"/>
          <w:szCs w:val="24"/>
        </w:rPr>
        <w:t xml:space="preserve"> no</w:t>
      </w:r>
      <w:r>
        <w:rPr>
          <w:rStyle w:val="None"/>
          <w:rFonts w:ascii="Times New Roman" w:hAnsi="Times New Roman"/>
          <w:sz w:val="24"/>
          <w:szCs w:val="24"/>
        </w:rPr>
        <w:t>t have a CIRS. They may have something else similar</w:t>
      </w:r>
      <w:r w:rsidR="00AF2134">
        <w:rPr>
          <w:rStyle w:val="None"/>
          <w:rFonts w:ascii="Times New Roman" w:hAnsi="Times New Roman"/>
          <w:sz w:val="24"/>
          <w:szCs w:val="24"/>
        </w:rPr>
        <w:t>,</w:t>
      </w:r>
      <w:r>
        <w:rPr>
          <w:rStyle w:val="None"/>
          <w:rFonts w:ascii="Times New Roman" w:hAnsi="Times New Roman"/>
          <w:sz w:val="24"/>
          <w:szCs w:val="24"/>
        </w:rPr>
        <w:t xml:space="preserve"> but not </w:t>
      </w:r>
      <w:r>
        <w:rPr>
          <w:rStyle w:val="None"/>
          <w:rFonts w:ascii="Times New Roman" w:hAnsi="Times New Roman"/>
          <w:sz w:val="24"/>
          <w:szCs w:val="24"/>
          <w:lang w:val="pt-PT"/>
        </w:rPr>
        <w:t>CIRS.</w:t>
      </w:r>
    </w:p>
    <w:p w14:paraId="6E6ED161" w14:textId="5B08EE95" w:rsidR="00185232" w:rsidRDefault="006074F5" w:rsidP="00466750">
      <w:pPr>
        <w:pStyle w:val="BodyA"/>
        <w:jc w:val="both"/>
      </w:pPr>
      <w:r>
        <w:rPr>
          <w:rStyle w:val="None"/>
          <w:rFonts w:ascii="Times New Roman" w:hAnsi="Times New Roman"/>
          <w:sz w:val="24"/>
          <w:szCs w:val="24"/>
        </w:rPr>
        <w:t>Further, the case definition includes not just symptoms alone</w:t>
      </w:r>
      <w:r w:rsidR="00AF2134">
        <w:rPr>
          <w:rStyle w:val="None"/>
          <w:rFonts w:ascii="Times New Roman" w:hAnsi="Times New Roman"/>
          <w:sz w:val="24"/>
          <w:szCs w:val="24"/>
        </w:rPr>
        <w:t>,</w:t>
      </w:r>
      <w:r>
        <w:rPr>
          <w:rStyle w:val="None"/>
          <w:rFonts w:ascii="Times New Roman" w:hAnsi="Times New Roman"/>
          <w:sz w:val="24"/>
          <w:szCs w:val="24"/>
        </w:rPr>
        <w:t xml:space="preserve"> but lab abnormalities seen in published peer-reviewed literature. We will see reduction of </w:t>
      </w:r>
      <w:r w:rsidR="00D361AF">
        <w:rPr>
          <w:rStyle w:val="None"/>
          <w:rFonts w:ascii="Times New Roman" w:hAnsi="Times New Roman"/>
          <w:sz w:val="24"/>
          <w:szCs w:val="24"/>
        </w:rPr>
        <w:t xml:space="preserve">the </w:t>
      </w:r>
      <w:r>
        <w:rPr>
          <w:rStyle w:val="None"/>
          <w:rFonts w:ascii="Times New Roman" w:hAnsi="Times New Roman"/>
          <w:sz w:val="24"/>
          <w:szCs w:val="24"/>
        </w:rPr>
        <w:t xml:space="preserve">normal levels of regulatory neuropeptides especially MSH. We will see elevation </w:t>
      </w:r>
      <w:r w:rsidR="00D361AF">
        <w:rPr>
          <w:rStyle w:val="None"/>
          <w:rFonts w:ascii="Times New Roman" w:hAnsi="Times New Roman"/>
          <w:sz w:val="24"/>
          <w:szCs w:val="24"/>
        </w:rPr>
        <w:t xml:space="preserve">of </w:t>
      </w:r>
      <w:r>
        <w:rPr>
          <w:rStyle w:val="None"/>
          <w:rFonts w:ascii="Times New Roman" w:hAnsi="Times New Roman"/>
          <w:sz w:val="24"/>
          <w:szCs w:val="24"/>
        </w:rPr>
        <w:t xml:space="preserve">at least of one of three inflammatory markers of </w:t>
      </w:r>
      <w:r w:rsidR="00DA5D11" w:rsidRPr="00E55ECD">
        <w:rPr>
          <w:rStyle w:val="None"/>
          <w:rFonts w:ascii="Times New Roman" w:hAnsi="Times New Roman" w:cs="Times New Roman"/>
          <w:sz w:val="24"/>
          <w:szCs w:val="24"/>
        </w:rPr>
        <w:t>TGF-beta1</w:t>
      </w:r>
      <w:r>
        <w:rPr>
          <w:rStyle w:val="None"/>
          <w:rFonts w:ascii="Times New Roman" w:hAnsi="Times New Roman"/>
          <w:sz w:val="24"/>
          <w:szCs w:val="24"/>
        </w:rPr>
        <w:t>, C4a and MMP</w:t>
      </w:r>
      <w:r w:rsidR="00AF2134">
        <w:rPr>
          <w:rStyle w:val="None"/>
          <w:rFonts w:ascii="Times New Roman" w:hAnsi="Times New Roman"/>
          <w:sz w:val="24"/>
          <w:szCs w:val="24"/>
        </w:rPr>
        <w:t>-</w:t>
      </w:r>
      <w:r>
        <w:rPr>
          <w:rStyle w:val="None"/>
          <w:rFonts w:ascii="Times New Roman" w:hAnsi="Times New Roman"/>
          <w:sz w:val="24"/>
          <w:szCs w:val="24"/>
        </w:rPr>
        <w:t>9. We will see dysregulation of ACTH and cortisol; we will see dysregulation of ADH and osmolality with a frequency that is quite high (&gt; 80%). In addition, we will see abnormalities in gliadin antibodies and VEGF. The issues we faced in the past with CIRS is that we did not know the transcriptomic signatures that t</w:t>
      </w:r>
      <w:r w:rsidR="00D361AF">
        <w:rPr>
          <w:rStyle w:val="None"/>
          <w:rFonts w:ascii="Times New Roman" w:hAnsi="Times New Roman"/>
          <w:sz w:val="24"/>
          <w:szCs w:val="24"/>
        </w:rPr>
        <w:t xml:space="preserve">hese illnesses have. We hope to </w:t>
      </w:r>
      <w:r w:rsidR="00584307">
        <w:rPr>
          <w:rStyle w:val="None"/>
          <w:rFonts w:ascii="Times New Roman" w:hAnsi="Times New Roman"/>
          <w:sz w:val="24"/>
          <w:szCs w:val="24"/>
          <w:lang w:val="es-ES_tradnl"/>
        </w:rPr>
        <w:t>distinguish</w:t>
      </w:r>
      <w:r>
        <w:rPr>
          <w:rStyle w:val="None"/>
          <w:rFonts w:ascii="Times New Roman" w:hAnsi="Times New Roman"/>
          <w:sz w:val="24"/>
          <w:szCs w:val="24"/>
          <w:lang w:val="pt-PT"/>
        </w:rPr>
        <w:t xml:space="preserve"> CIRS-PLS</w:t>
      </w:r>
      <w:r>
        <w:rPr>
          <w:rStyle w:val="None"/>
          <w:rFonts w:ascii="Times New Roman" w:hAnsi="Times New Roman"/>
          <w:sz w:val="24"/>
          <w:szCs w:val="24"/>
        </w:rPr>
        <w:t xml:space="preserve"> from </w:t>
      </w:r>
      <w:r>
        <w:rPr>
          <w:rStyle w:val="None"/>
          <w:rFonts w:ascii="Times New Roman" w:hAnsi="Times New Roman"/>
          <w:sz w:val="24"/>
          <w:szCs w:val="24"/>
          <w:lang w:val="pt-PT"/>
        </w:rPr>
        <w:t>CIRS</w:t>
      </w:r>
      <w:r>
        <w:rPr>
          <w:rStyle w:val="None"/>
          <w:rFonts w:ascii="Times New Roman" w:hAnsi="Times New Roman"/>
          <w:sz w:val="24"/>
          <w:szCs w:val="24"/>
        </w:rPr>
        <w:t>-WDB readily with transcriptomics. We have published on transcriptomics of ciguatera; we have published tra</w:t>
      </w:r>
      <w:r w:rsidR="00D361AF">
        <w:rPr>
          <w:rStyle w:val="None"/>
          <w:rFonts w:ascii="Times New Roman" w:hAnsi="Times New Roman"/>
          <w:sz w:val="24"/>
          <w:szCs w:val="24"/>
        </w:rPr>
        <w:t>nscriptomics of mold (5, in references, Sections 1-6).</w:t>
      </w:r>
    </w:p>
    <w:p w14:paraId="2C6361E9" w14:textId="61F9B614" w:rsidR="00185232" w:rsidRDefault="006074F5" w:rsidP="00466750">
      <w:pPr>
        <w:pStyle w:val="BodyA"/>
        <w:jc w:val="both"/>
      </w:pPr>
      <w:r>
        <w:rPr>
          <w:rStyle w:val="None"/>
          <w:rFonts w:ascii="Times New Roman" w:hAnsi="Times New Roman"/>
          <w:sz w:val="24"/>
          <w:szCs w:val="24"/>
        </w:rPr>
        <w:t>We add NeuroQuant</w:t>
      </w:r>
      <w:r w:rsidR="00625BCD">
        <w:rPr>
          <w:rStyle w:val="None"/>
          <w:rFonts w:ascii="Times New Roman" w:hAnsi="Times New Roman" w:cs="Times New Roman"/>
          <w:sz w:val="24"/>
          <w:szCs w:val="24"/>
        </w:rPr>
        <w:t>®</w:t>
      </w:r>
      <w:r>
        <w:rPr>
          <w:rStyle w:val="None"/>
          <w:rFonts w:ascii="Times New Roman" w:hAnsi="Times New Roman"/>
          <w:sz w:val="24"/>
          <w:szCs w:val="24"/>
        </w:rPr>
        <w:t xml:space="preserve"> findings to the differential diagnosis to quickly make things easier. Lyme has distinctive abnormalities as does CIRS-WDB. Other illnesses do not have those findings. One might simply say, well why not start with the NeuroQuant</w:t>
      </w:r>
      <w:r w:rsidR="00625BCD" w:rsidRPr="002D3A6E">
        <w:rPr>
          <w:rStyle w:val="None"/>
          <w:rFonts w:ascii="Times New Roman" w:hAnsi="Times New Roman" w:cs="Times New Roman"/>
          <w:sz w:val="24"/>
          <w:szCs w:val="24"/>
          <w:vertAlign w:val="superscript"/>
        </w:rPr>
        <w:t>®</w:t>
      </w:r>
      <w:r>
        <w:rPr>
          <w:rStyle w:val="None"/>
          <w:rFonts w:ascii="Times New Roman" w:hAnsi="Times New Roman"/>
          <w:sz w:val="24"/>
          <w:szCs w:val="24"/>
        </w:rPr>
        <w:t>? We often do!</w:t>
      </w:r>
    </w:p>
    <w:p w14:paraId="7BB0023B" w14:textId="1EC8149F" w:rsidR="00185232" w:rsidRDefault="006074F5" w:rsidP="00466750">
      <w:pPr>
        <w:pStyle w:val="BodyA"/>
        <w:jc w:val="both"/>
      </w:pPr>
      <w:r>
        <w:rPr>
          <w:rStyle w:val="None"/>
          <w:rFonts w:ascii="Times New Roman" w:hAnsi="Times New Roman"/>
          <w:sz w:val="24"/>
          <w:szCs w:val="24"/>
        </w:rPr>
        <w:t xml:space="preserve">The differential diagnosis process never stops in the sense that as we continue with therapy there will be resolution of individual physiological abnormalities, </w:t>
      </w:r>
      <w:r w:rsidRPr="000D3425">
        <w:rPr>
          <w:rStyle w:val="None"/>
          <w:rFonts w:ascii="Times New Roman" w:hAnsi="Times New Roman"/>
          <w:i/>
          <w:sz w:val="24"/>
          <w:szCs w:val="24"/>
        </w:rPr>
        <w:t>one by one</w:t>
      </w:r>
      <w:r>
        <w:rPr>
          <w:rStyle w:val="None"/>
          <w:rFonts w:ascii="Times New Roman" w:hAnsi="Times New Roman"/>
          <w:sz w:val="24"/>
          <w:szCs w:val="24"/>
        </w:rPr>
        <w:t xml:space="preserve">, as we institute sequential treatments that fix physiological abnormalities. We make no effort to do two things at a time; such “shotgun” medicine </w:t>
      </w:r>
      <w:r w:rsidR="00D95CE2">
        <w:rPr>
          <w:rStyle w:val="None"/>
          <w:rFonts w:ascii="Times New Roman" w:hAnsi="Times New Roman"/>
          <w:sz w:val="24"/>
          <w:szCs w:val="24"/>
        </w:rPr>
        <w:t>h</w:t>
      </w:r>
      <w:r>
        <w:rPr>
          <w:rStyle w:val="None"/>
          <w:rFonts w:ascii="Times New Roman" w:hAnsi="Times New Roman"/>
          <w:sz w:val="24"/>
          <w:szCs w:val="24"/>
        </w:rPr>
        <w:t xml:space="preserve">as no role in CIRS. </w:t>
      </w:r>
    </w:p>
    <w:p w14:paraId="2A52826D" w14:textId="241A30F0" w:rsidR="00185232" w:rsidRDefault="006074F5" w:rsidP="00466750">
      <w:pPr>
        <w:pStyle w:val="BodyA"/>
        <w:spacing w:after="0"/>
        <w:jc w:val="both"/>
        <w:rPr>
          <w:rStyle w:val="None"/>
          <w:rFonts w:ascii="Times New Roman" w:hAnsi="Times New Roman"/>
          <w:sz w:val="24"/>
          <w:szCs w:val="24"/>
        </w:rPr>
      </w:pPr>
      <w:r>
        <w:rPr>
          <w:rStyle w:val="None"/>
          <w:rFonts w:ascii="Times New Roman" w:hAnsi="Times New Roman"/>
          <w:sz w:val="24"/>
          <w:szCs w:val="24"/>
        </w:rPr>
        <w:t>Differential diagnosis</w:t>
      </w:r>
      <w:r w:rsidR="00D90E29">
        <w:rPr>
          <w:rStyle w:val="None"/>
          <w:rFonts w:ascii="Times New Roman" w:hAnsi="Times New Roman"/>
          <w:sz w:val="24"/>
          <w:szCs w:val="24"/>
        </w:rPr>
        <w:t xml:space="preserve"> only ends</w:t>
      </w:r>
      <w:r>
        <w:rPr>
          <w:rStyle w:val="None"/>
          <w:rFonts w:ascii="Times New Roman" w:hAnsi="Times New Roman"/>
          <w:sz w:val="24"/>
          <w:szCs w:val="24"/>
        </w:rPr>
        <w:t xml:space="preserve"> when</w:t>
      </w:r>
      <w:r w:rsidR="00C62ED5">
        <w:rPr>
          <w:rStyle w:val="None"/>
          <w:rFonts w:ascii="Times New Roman" w:hAnsi="Times New Roman"/>
          <w:sz w:val="24"/>
          <w:szCs w:val="24"/>
        </w:rPr>
        <w:t xml:space="preserve"> there is (i) near-100% exclusion of all possible causes of a given patient’s illness or</w:t>
      </w:r>
      <w:r>
        <w:rPr>
          <w:rStyle w:val="None"/>
          <w:rFonts w:ascii="Times New Roman" w:hAnsi="Times New Roman"/>
          <w:sz w:val="24"/>
          <w:szCs w:val="24"/>
        </w:rPr>
        <w:t xml:space="preserve"> </w:t>
      </w:r>
      <w:r w:rsidR="00C62ED5">
        <w:rPr>
          <w:rStyle w:val="None"/>
          <w:rFonts w:ascii="Times New Roman" w:hAnsi="Times New Roman"/>
          <w:sz w:val="24"/>
          <w:szCs w:val="24"/>
        </w:rPr>
        <w:t xml:space="preserve">(ii) </w:t>
      </w:r>
      <w:r>
        <w:rPr>
          <w:rStyle w:val="None"/>
          <w:rFonts w:ascii="Times New Roman" w:hAnsi="Times New Roman"/>
          <w:sz w:val="24"/>
          <w:szCs w:val="24"/>
        </w:rPr>
        <w:t>we have resolution of symptom abnormalities; VCS abnormalities; laboratory abnormalities; nasal culture abnormalities; an</w:t>
      </w:r>
      <w:r w:rsidR="00C62ED5">
        <w:rPr>
          <w:rStyle w:val="None"/>
          <w:rFonts w:ascii="Times New Roman" w:hAnsi="Times New Roman"/>
          <w:sz w:val="24"/>
          <w:szCs w:val="24"/>
        </w:rPr>
        <w:t>d transcriptomic abnormalities. We must</w:t>
      </w:r>
      <w:r w:rsidR="00AF2134" w:rsidRPr="002D3A6E">
        <w:rPr>
          <w:rStyle w:val="None"/>
          <w:rFonts w:ascii="Times New Roman" w:hAnsi="Times New Roman"/>
          <w:color w:val="FF0000"/>
          <w:sz w:val="24"/>
          <w:szCs w:val="24"/>
        </w:rPr>
        <w:t xml:space="preserve">  </w:t>
      </w:r>
      <w:r w:rsidR="00C62ED5">
        <w:rPr>
          <w:rStyle w:val="None"/>
          <w:rFonts w:ascii="Times New Roman" w:hAnsi="Times New Roman"/>
          <w:color w:val="FF0000"/>
          <w:sz w:val="24"/>
          <w:szCs w:val="24"/>
        </w:rPr>
        <w:t xml:space="preserve"> </w:t>
      </w:r>
      <w:r w:rsidR="00C62ED5" w:rsidRPr="00C62ED5">
        <w:rPr>
          <w:rStyle w:val="None"/>
          <w:rFonts w:ascii="Times New Roman" w:hAnsi="Times New Roman"/>
          <w:color w:val="auto"/>
          <w:sz w:val="24"/>
          <w:szCs w:val="24"/>
        </w:rPr>
        <w:t>not abandon another vital element of differential diagnosis: simply recognizing the remote possibility of an alternative medical diagnosis is never exclusionary for the approach of a treating physician: “To a reasonable degree of medical certainty, it is my opinion that Mrs. XYZ has CIRS.”</w:t>
      </w:r>
      <w:r w:rsidR="00C62ED5">
        <w:rPr>
          <w:rStyle w:val="None"/>
          <w:rFonts w:ascii="Times New Roman" w:hAnsi="Times New Roman"/>
          <w:color w:val="auto"/>
          <w:sz w:val="24"/>
          <w:szCs w:val="24"/>
        </w:rPr>
        <w:t xml:space="preserve"> Finally, while we</w:t>
      </w:r>
      <w:r>
        <w:rPr>
          <w:rStyle w:val="None"/>
          <w:rFonts w:ascii="Times New Roman" w:hAnsi="Times New Roman"/>
          <w:sz w:val="24"/>
          <w:szCs w:val="24"/>
        </w:rPr>
        <w:t xml:space="preserve"> want to have NeuroQuant</w:t>
      </w:r>
      <w:r w:rsidR="00625BCD">
        <w:rPr>
          <w:rStyle w:val="None"/>
          <w:rFonts w:ascii="Times New Roman" w:hAnsi="Times New Roman" w:cs="Times New Roman"/>
          <w:sz w:val="24"/>
          <w:szCs w:val="24"/>
        </w:rPr>
        <w:t>®</w:t>
      </w:r>
      <w:r>
        <w:rPr>
          <w:rStyle w:val="None"/>
          <w:rFonts w:ascii="Times New Roman" w:hAnsi="Times New Roman"/>
          <w:sz w:val="24"/>
          <w:szCs w:val="24"/>
        </w:rPr>
        <w:t xml:space="preserve"> abnormalities resolved</w:t>
      </w:r>
      <w:r w:rsidR="00C62ED5">
        <w:rPr>
          <w:rStyle w:val="None"/>
          <w:rFonts w:ascii="Times New Roman" w:hAnsi="Times New Roman"/>
          <w:sz w:val="24"/>
          <w:szCs w:val="24"/>
        </w:rPr>
        <w:t xml:space="preserve"> as quickly as transcriptomics</w:t>
      </w:r>
      <w:r>
        <w:rPr>
          <w:rStyle w:val="None"/>
          <w:rFonts w:ascii="Times New Roman" w:hAnsi="Times New Roman"/>
          <w:sz w:val="24"/>
          <w:szCs w:val="24"/>
        </w:rPr>
        <w:t xml:space="preserve"> that tak</w:t>
      </w:r>
      <w:r w:rsidR="00C62ED5">
        <w:rPr>
          <w:rStyle w:val="None"/>
          <w:rFonts w:ascii="Times New Roman" w:hAnsi="Times New Roman"/>
          <w:sz w:val="24"/>
          <w:szCs w:val="24"/>
        </w:rPr>
        <w:t>es more time than what initial therapy</w:t>
      </w:r>
      <w:r>
        <w:rPr>
          <w:rStyle w:val="None"/>
          <w:rFonts w:ascii="Times New Roman" w:hAnsi="Times New Roman"/>
          <w:sz w:val="24"/>
          <w:szCs w:val="24"/>
        </w:rPr>
        <w:t xml:space="preserve"> alone requires. </w:t>
      </w:r>
    </w:p>
    <w:p w14:paraId="3A626624" w14:textId="77777777" w:rsidR="006B4EC2" w:rsidRDefault="006B4EC2" w:rsidP="00466750">
      <w:pPr>
        <w:pStyle w:val="BodyA"/>
        <w:spacing w:after="0"/>
        <w:jc w:val="both"/>
        <w:rPr>
          <w:rStyle w:val="None"/>
          <w:rFonts w:ascii="Times New Roman" w:hAnsi="Times New Roman"/>
          <w:sz w:val="24"/>
          <w:szCs w:val="24"/>
        </w:rPr>
      </w:pPr>
    </w:p>
    <w:p w14:paraId="3B66D29F" w14:textId="3A9AB525" w:rsidR="006B4EC2" w:rsidRDefault="006B4EC2" w:rsidP="00466750">
      <w:pPr>
        <w:jc w:val="both"/>
      </w:pPr>
      <w:r w:rsidRPr="002D3A6E">
        <w:rPr>
          <w:b/>
          <w:sz w:val="28"/>
          <w:szCs w:val="28"/>
        </w:rPr>
        <w:t>Section 1</w:t>
      </w:r>
      <w:r w:rsidR="00957ABB" w:rsidRPr="002D3A6E">
        <w:rPr>
          <w:b/>
          <w:sz w:val="28"/>
          <w:szCs w:val="28"/>
        </w:rPr>
        <w:t>3</w:t>
      </w:r>
      <w:r w:rsidRPr="002D3A6E">
        <w:rPr>
          <w:b/>
          <w:sz w:val="28"/>
          <w:szCs w:val="28"/>
        </w:rPr>
        <w:t>. Physical exam</w:t>
      </w:r>
    </w:p>
    <w:p w14:paraId="72AB01F0" w14:textId="77777777" w:rsidR="006B4EC2" w:rsidRDefault="006B4EC2" w:rsidP="00466750">
      <w:pPr>
        <w:jc w:val="both"/>
      </w:pPr>
      <w:r>
        <w:t xml:space="preserve">A carefully performed physical exam remains a second fundamental basis of medical diagnosis beyond history. Physical exams provide a basis for confidence in diagnosis with positive and negative findings, both important in the process of sorting out what illness or group of illnesses is present in a patient with complex multisystem, multi-symptom illness. </w:t>
      </w:r>
    </w:p>
    <w:p w14:paraId="25764EC6" w14:textId="77777777" w:rsidR="006B4EC2" w:rsidRDefault="006B4EC2" w:rsidP="00466750">
      <w:pPr>
        <w:jc w:val="both"/>
      </w:pPr>
    </w:p>
    <w:p w14:paraId="46B8BBB3" w14:textId="5C242455" w:rsidR="006B4EC2" w:rsidRDefault="006B4EC2" w:rsidP="00466750">
      <w:pPr>
        <w:jc w:val="both"/>
      </w:pPr>
      <w:r>
        <w:t>Vital signs are done routinely on all new patients to include blood pressure, temperature, pulse and respirations. Of these four vital signs, careful assessment of respiration is most often skipped. It only takes 30 seconds to count breathing and look for Cheyne-Stokes respirations in individuals with cognitive effects. Blood pressure tells us if we can use losartan down the road; it also tells us if we need to worry about problems with adrenoceptors if blood pressure is suppressed.  The character of the pulse provides clues to ectopic beats. It only takes 30 seconds: do</w:t>
      </w:r>
      <w:r w:rsidR="00AF2134">
        <w:t xml:space="preserve"> not</w:t>
      </w:r>
      <w:r>
        <w:t xml:space="preserve"> skip. Short cuts in temperature taking are common but nothing replaces an old-fashioned mercury thermometer, when available, under the tongue. </w:t>
      </w:r>
    </w:p>
    <w:p w14:paraId="38059D97" w14:textId="77777777" w:rsidR="006B4EC2" w:rsidRDefault="006B4EC2" w:rsidP="00466750">
      <w:pPr>
        <w:jc w:val="both"/>
      </w:pPr>
    </w:p>
    <w:p w14:paraId="4A7B8258" w14:textId="41EA5A6F" w:rsidR="006B4EC2" w:rsidRDefault="006B4EC2" w:rsidP="00466750">
      <w:pPr>
        <w:jc w:val="both"/>
      </w:pPr>
      <w:r>
        <w:t>Please use the tools of physical exam properly. Otoscopes are held upside down. Left hand, left ear. Right hand, right ear. Stethoscopes are placed on bare skin. When I see TV actors listening to lungs through a shirt or a sweater I cringe; even wor</w:t>
      </w:r>
      <w:r w:rsidR="00C62ED5">
        <w:t xml:space="preserve">se if </w:t>
      </w:r>
      <w:r w:rsidR="00AE3991">
        <w:t>a health care provider does this</w:t>
      </w:r>
      <w:r>
        <w:t xml:space="preserve">. </w:t>
      </w:r>
    </w:p>
    <w:p w14:paraId="7F4457A9" w14:textId="77777777" w:rsidR="006B4EC2" w:rsidRDefault="006B4EC2" w:rsidP="00466750">
      <w:pPr>
        <w:jc w:val="both"/>
      </w:pPr>
    </w:p>
    <w:p w14:paraId="7BE3EB99" w14:textId="230B0240" w:rsidR="006B4EC2" w:rsidRDefault="006B4EC2" w:rsidP="00466750">
      <w:pPr>
        <w:jc w:val="both"/>
      </w:pPr>
      <w:r>
        <w:t xml:space="preserve">There are multiple possible tip-offs to </w:t>
      </w:r>
      <w:r w:rsidR="00061FF5">
        <w:t xml:space="preserve">the </w:t>
      </w:r>
      <w:r>
        <w:t xml:space="preserve">presence of a CIRS. Look for a resting tremor of the outstretched fingers, spread wide apart. Place a piece of paper on the top of the spread apart fingers to make a resting tremor obvious to the examiner and patient alike. Look for evidence of abnormal skin turgor, rashes, venous stasis changes and the like. Look especially for evidence of enlargement of turbinates and or polyps upon nasal exam. Transillumination of sinuses is frequently done with limited return. Look for evidence of gingivitis. One of the most important indicators of dental biofilm formers is refractory genitival abnormalities. </w:t>
      </w:r>
    </w:p>
    <w:p w14:paraId="71D23A80" w14:textId="77777777" w:rsidR="006B4EC2" w:rsidRDefault="006B4EC2" w:rsidP="00466750">
      <w:pPr>
        <w:jc w:val="both"/>
      </w:pPr>
    </w:p>
    <w:p w14:paraId="291B2C53" w14:textId="77777777" w:rsidR="006B4EC2" w:rsidRDefault="006B4EC2" w:rsidP="00466750">
      <w:pPr>
        <w:jc w:val="both"/>
      </w:pPr>
      <w:r>
        <w:t xml:space="preserve">HEENT evaluation includes determining the presence or absence of pallor, erythema of the cheeks approximating a butterfly rash but sparing the nasal bridge (“mold facies” often misdiagnosed as rosacea), the presence of scleral injection and acne.  The exam should also note the presence of goiter (thyroid illness frequently accompanies CIRS), the size of cervical lymph nodes and presence of any cranial nerve dysfunctions (often with CN VII weakness).  Carotid upstroke should be full without any bruit. Look for jugular venous distention, especially in someone who has evidence of right ventricular hypertrophy on EKG. </w:t>
      </w:r>
    </w:p>
    <w:p w14:paraId="12802E51" w14:textId="77777777" w:rsidR="006B4EC2" w:rsidRDefault="006B4EC2" w:rsidP="00466750">
      <w:pPr>
        <w:jc w:val="both"/>
      </w:pPr>
    </w:p>
    <w:p w14:paraId="5A7D9BD0" w14:textId="786215CE" w:rsidR="006B4EC2" w:rsidRDefault="006B4EC2" w:rsidP="00466750">
      <w:pPr>
        <w:jc w:val="both"/>
      </w:pPr>
      <w:r>
        <w:t>Pulmonary exam takes at least 15 seconds. Do</w:t>
      </w:r>
      <w:r w:rsidR="00AF2134">
        <w:t xml:space="preserve"> no</w:t>
      </w:r>
      <w:r>
        <w:t xml:space="preserve">t skip. Listen for symmetry and for evidence of mucous plugging with change after cough. Crackling rales and evidence of dullness, usually at the right base, possibly indicate a pleural effusion.  Evaluate for </w:t>
      </w:r>
      <w:r w:rsidRPr="008735D0">
        <w:t>wheeze, rhonchi, decreased diaphragm excursion, post-tussi</w:t>
      </w:r>
      <w:r>
        <w:t>c</w:t>
      </w:r>
      <w:r w:rsidRPr="008735D0">
        <w:t xml:space="preserve"> rales</w:t>
      </w:r>
      <w:r>
        <w:t>.  Ask for three</w:t>
      </w:r>
      <w:r w:rsidRPr="008735D0">
        <w:t xml:space="preserve"> maximal inspirations and then listen for inspiratory rales.</w:t>
      </w:r>
    </w:p>
    <w:p w14:paraId="4DA93C10" w14:textId="77777777" w:rsidR="00C62ED5" w:rsidRDefault="00C62ED5" w:rsidP="00466750">
      <w:pPr>
        <w:jc w:val="both"/>
      </w:pPr>
    </w:p>
    <w:p w14:paraId="1FCF51DB" w14:textId="5BCF1C9D" w:rsidR="006B4EC2" w:rsidRDefault="006B4EC2" w:rsidP="00466750">
      <w:pPr>
        <w:jc w:val="both"/>
      </w:pPr>
      <w:r>
        <w:t>Cardiovascular exam looks for evidence of cardiovascular compromise. It seems straightforward</w:t>
      </w:r>
      <w:r w:rsidR="00AE3991">
        <w:t>,</w:t>
      </w:r>
      <w:r>
        <w:t xml:space="preserve"> but we know that individuals who are disproportionally long in wingspan compared to height are a greater risk to develop abnormalities in thoracic and abdominal aorta that can lead to aneurysm formation. Listen carefully for wide splitting of S1 vs. a gallop rhythm. If you hear an S3 or an S4 (it is not necessarily your job to distinguish the </w:t>
      </w:r>
      <w:r w:rsidR="00AE3991">
        <w:t>two,</w:t>
      </w:r>
      <w:r>
        <w:t xml:space="preserve"> but it is your job to hear one) look for a reason for cardiovascular compromise of either volume-overload and pressure-overload, both from right ventricle and pulmonary artery or systemically. </w:t>
      </w:r>
    </w:p>
    <w:p w14:paraId="6F84097C" w14:textId="17C3E423" w:rsidR="006B4EC2" w:rsidRDefault="006B4EC2" w:rsidP="00466750">
      <w:pPr>
        <w:jc w:val="both"/>
      </w:pPr>
      <w:r>
        <w:t xml:space="preserve">Abdominal exam is rarely helpful unless there is enlargement of liver and spleen. Trained observers can feel kidneys </w:t>
      </w:r>
      <w:r w:rsidR="00037AB7">
        <w:t>reliably,</w:t>
      </w:r>
      <w:r>
        <w:t xml:space="preserve"> but this skill diminishes with extra patient weight (a problem commonly seen in leptin resistant patients with CIRS). </w:t>
      </w:r>
    </w:p>
    <w:p w14:paraId="7DD4F5CB" w14:textId="77777777" w:rsidR="00061FF5" w:rsidRDefault="00061FF5" w:rsidP="00466750">
      <w:pPr>
        <w:jc w:val="both"/>
      </w:pPr>
    </w:p>
    <w:p w14:paraId="376CCC77" w14:textId="6EFC1411" w:rsidR="006B4EC2" w:rsidRDefault="006B4EC2" w:rsidP="00466750">
      <w:pPr>
        <w:jc w:val="both"/>
      </w:pPr>
      <w:r>
        <w:t>Extremity exam demands looking for evidence of true arthritis together with evidence of peripheral edema (pitting or not, unilateral or not) and venous thrombosis.  Capillary refill may be diminished in fingers and toes if end organ profusion is diminished.  Hands and feet should be evaluated for coolness, discoloration and perfusion.  Proximal (shoulder shrug) and distal arm strength (grip) should be recorded.  Handedness should be noted and dominant arm strength in anti-gravity muscles, compared to the non-dominant arm should be tested 3 times (for initial strength and fatiguing).  Joints should be evaluated for pain, erythema, swelling and heat.  Look also for sensory deficits.</w:t>
      </w:r>
      <w:r>
        <w:tab/>
      </w:r>
    </w:p>
    <w:p w14:paraId="7DDEB21A" w14:textId="77777777" w:rsidR="00061FF5" w:rsidRDefault="00061FF5" w:rsidP="00466750">
      <w:pPr>
        <w:jc w:val="both"/>
      </w:pPr>
    </w:p>
    <w:p w14:paraId="63ECB2CA" w14:textId="7071FEC3" w:rsidR="006B4EC2" w:rsidRDefault="006B4EC2" w:rsidP="00466750">
      <w:pPr>
        <w:jc w:val="both"/>
      </w:pPr>
      <w:r>
        <w:t>Mental status is usually normal but there is often dropout of specific abilities.  Most notably, math functions, performed without paper and pen, are frequently diminished.  Asking questions such as, “What is 91 divided by</w:t>
      </w:r>
      <w:r w:rsidR="00061FF5">
        <w:t xml:space="preserve"> </w:t>
      </w:r>
      <w:r>
        <w:t>7” or, “What is 65 plus 17”, will frequently elicit delayed and</w:t>
      </w:r>
      <w:r w:rsidR="00C62ED5">
        <w:t>/or</w:t>
      </w:r>
      <w:r>
        <w:t xml:space="preserve"> incorrect answers.</w:t>
      </w:r>
      <w:r>
        <w:tab/>
      </w:r>
    </w:p>
    <w:p w14:paraId="26F84472" w14:textId="77777777" w:rsidR="00061FF5" w:rsidRDefault="00061FF5" w:rsidP="00466750">
      <w:pPr>
        <w:jc w:val="both"/>
      </w:pPr>
    </w:p>
    <w:p w14:paraId="0A93ED1E" w14:textId="3B664EF4" w:rsidR="006B4EC2" w:rsidRDefault="006B4EC2" w:rsidP="00466750">
      <w:pPr>
        <w:jc w:val="both"/>
      </w:pPr>
      <w:r>
        <w:t>The CIRS physical rarely requires rectal, pelvic or breast exams except as history indicates.</w:t>
      </w:r>
      <w:r w:rsidR="00C62ED5">
        <w:t xml:space="preserve"> Always have a chaperone if private area exams are planned.</w:t>
      </w:r>
    </w:p>
    <w:p w14:paraId="67FC436E" w14:textId="77777777" w:rsidR="006B4EC2" w:rsidRDefault="006B4EC2" w:rsidP="00466750">
      <w:pPr>
        <w:jc w:val="both"/>
      </w:pPr>
    </w:p>
    <w:p w14:paraId="53B3C141" w14:textId="5113D134" w:rsidR="006B4EC2" w:rsidRPr="00F10CD0" w:rsidRDefault="006B4EC2" w:rsidP="00466750">
      <w:pPr>
        <w:jc w:val="both"/>
      </w:pPr>
      <w:r>
        <w:t xml:space="preserve">There are a few tricks that go along with physical exam that CIRS docs will perform that other docs rarely do. Performance of measurement of wingspan compared to height takes 5 seconds but is associated with a more common finding of HLA 11-3-52B and elevated </w:t>
      </w:r>
      <w:r w:rsidR="00DA5D11" w:rsidRPr="00E55ECD">
        <w:rPr>
          <w:rStyle w:val="None"/>
        </w:rPr>
        <w:t>TGF-beta1</w:t>
      </w:r>
      <w:r>
        <w:t xml:space="preserve">. Similarly, stroking the skin, as if making a tic tac toe board on a patient’s back, is an easy way to look for dermatographia. While some providers think this shows evidence of mast cell activation, a positive finding simply reflects the presence of increased levels of C4a.  </w:t>
      </w:r>
    </w:p>
    <w:p w14:paraId="3209C2D7" w14:textId="77777777" w:rsidR="006B4EC2" w:rsidRDefault="006B4EC2" w:rsidP="00466750">
      <w:pPr>
        <w:jc w:val="both"/>
        <w:rPr>
          <w:b/>
          <w:sz w:val="32"/>
          <w:szCs w:val="32"/>
        </w:rPr>
      </w:pPr>
    </w:p>
    <w:p w14:paraId="3B847EFC" w14:textId="260880E3" w:rsidR="00185232" w:rsidRDefault="006B4EC2" w:rsidP="00466750">
      <w:pPr>
        <w:pStyle w:val="BodyA"/>
        <w:spacing w:after="0"/>
        <w:jc w:val="both"/>
        <w:rPr>
          <w:rFonts w:ascii="Times New Roman" w:hAnsi="Times New Roman" w:cs="Times New Roman"/>
          <w:sz w:val="24"/>
          <w:szCs w:val="24"/>
        </w:rPr>
      </w:pPr>
      <w:r>
        <w:rPr>
          <w:rFonts w:ascii="Times New Roman" w:hAnsi="Times New Roman" w:cs="Times New Roman"/>
          <w:sz w:val="24"/>
          <w:szCs w:val="24"/>
        </w:rPr>
        <w:t xml:space="preserve">Ancillary findings are equally important as vital signs </w:t>
      </w:r>
      <w:r w:rsidR="00B415F4">
        <w:rPr>
          <w:rFonts w:ascii="Times New Roman" w:hAnsi="Times New Roman" w:cs="Times New Roman"/>
          <w:sz w:val="24"/>
          <w:szCs w:val="24"/>
        </w:rPr>
        <w:t>regarding</w:t>
      </w:r>
      <w:r>
        <w:rPr>
          <w:rFonts w:ascii="Times New Roman" w:hAnsi="Times New Roman" w:cs="Times New Roman"/>
          <w:sz w:val="24"/>
          <w:szCs w:val="24"/>
        </w:rPr>
        <w:t xml:space="preserve"> oximetry, 12-lead EKG and pulmonary functions with spirometry. If for example, there is a discrepancy between the counted pulse and the recorded pulse with pulse-ox, you have a duty to explain the difference. Any oxygen saturation under 92% should create red flags immediately. Look on an EKG for evidence of abnormal rhythm, prior myocardial injury and voltage suggesting overload either of the right or left ventricle or both. Spirometry gives us two of the most important recordings at bedside</w:t>
      </w:r>
      <w:r w:rsidR="00651CC0">
        <w:rPr>
          <w:rFonts w:ascii="Times New Roman" w:hAnsi="Times New Roman" w:cs="Times New Roman"/>
          <w:sz w:val="24"/>
          <w:szCs w:val="24"/>
        </w:rPr>
        <w:t xml:space="preserve">, for primary care and CIRS. Low </w:t>
      </w:r>
      <w:r>
        <w:rPr>
          <w:rFonts w:ascii="Times New Roman" w:hAnsi="Times New Roman" w:cs="Times New Roman"/>
          <w:sz w:val="24"/>
          <w:szCs w:val="24"/>
        </w:rPr>
        <w:t>f</w:t>
      </w:r>
      <w:r w:rsidR="00651CC0">
        <w:rPr>
          <w:rFonts w:ascii="Times New Roman" w:hAnsi="Times New Roman" w:cs="Times New Roman"/>
          <w:sz w:val="24"/>
          <w:szCs w:val="24"/>
        </w:rPr>
        <w:t>orced vital capacity (FVC)</w:t>
      </w:r>
      <w:r>
        <w:rPr>
          <w:rFonts w:ascii="Times New Roman" w:hAnsi="Times New Roman" w:cs="Times New Roman"/>
          <w:sz w:val="24"/>
          <w:szCs w:val="24"/>
        </w:rPr>
        <w:t xml:space="preserve"> tells us about a restrictive lung disease; and</w:t>
      </w:r>
      <w:r w:rsidR="00651CC0">
        <w:rPr>
          <w:rFonts w:ascii="Times New Roman" w:hAnsi="Times New Roman" w:cs="Times New Roman"/>
          <w:sz w:val="24"/>
          <w:szCs w:val="24"/>
        </w:rPr>
        <w:t xml:space="preserve"> low</w:t>
      </w:r>
      <w:r>
        <w:rPr>
          <w:rFonts w:ascii="Times New Roman" w:hAnsi="Times New Roman" w:cs="Times New Roman"/>
          <w:sz w:val="24"/>
          <w:szCs w:val="24"/>
        </w:rPr>
        <w:t xml:space="preserve"> forced expiratory vo</w:t>
      </w:r>
      <w:r w:rsidR="00651CC0">
        <w:rPr>
          <w:rFonts w:ascii="Times New Roman" w:hAnsi="Times New Roman" w:cs="Times New Roman"/>
          <w:sz w:val="24"/>
          <w:szCs w:val="24"/>
        </w:rPr>
        <w:t>lume in 1 second (FEV-1) tells</w:t>
      </w:r>
      <w:r>
        <w:rPr>
          <w:rFonts w:ascii="Times New Roman" w:hAnsi="Times New Roman" w:cs="Times New Roman"/>
          <w:sz w:val="24"/>
          <w:szCs w:val="24"/>
        </w:rPr>
        <w:t xml:space="preserve"> us about obstructive lung disease. If a patient has given their very best effort and can only blow out for three seconds, be looking for r</w:t>
      </w:r>
      <w:r w:rsidR="00651CC0">
        <w:rPr>
          <w:rFonts w:ascii="Times New Roman" w:hAnsi="Times New Roman" w:cs="Times New Roman"/>
          <w:sz w:val="24"/>
          <w:szCs w:val="24"/>
        </w:rPr>
        <w:t>estrictive lung disease or some</w:t>
      </w:r>
      <w:r>
        <w:rPr>
          <w:rFonts w:ascii="Times New Roman" w:hAnsi="Times New Roman" w:cs="Times New Roman"/>
          <w:sz w:val="24"/>
          <w:szCs w:val="24"/>
        </w:rPr>
        <w:t>. The spirometry computer will call the test inadequate; it is more important to sort out the mechan</w:t>
      </w:r>
      <w:r w:rsidR="00651CC0">
        <w:rPr>
          <w:rFonts w:ascii="Times New Roman" w:hAnsi="Times New Roman" w:cs="Times New Roman"/>
          <w:sz w:val="24"/>
          <w:szCs w:val="24"/>
        </w:rPr>
        <w:t>ism of the inadequateness.</w:t>
      </w:r>
    </w:p>
    <w:p w14:paraId="59285E9D" w14:textId="77777777" w:rsidR="002F4948" w:rsidRDefault="002F4948" w:rsidP="00466750">
      <w:pPr>
        <w:pStyle w:val="BodyA"/>
        <w:spacing w:after="0"/>
        <w:jc w:val="both"/>
      </w:pPr>
    </w:p>
    <w:p w14:paraId="0A3088CD" w14:textId="0B328D55" w:rsidR="00185232" w:rsidRPr="00C62ED5" w:rsidRDefault="006074F5" w:rsidP="00466750">
      <w:pPr>
        <w:pStyle w:val="BodyA"/>
        <w:spacing w:after="0"/>
        <w:jc w:val="both"/>
        <w:rPr>
          <w:rFonts w:ascii="Times New Roman" w:hAnsi="Times New Roman" w:cs="Times New Roman"/>
        </w:rPr>
      </w:pPr>
      <w:r w:rsidRPr="00C62ED5">
        <w:rPr>
          <w:rStyle w:val="None"/>
          <w:rFonts w:ascii="Times New Roman" w:hAnsi="Times New Roman" w:cs="Times New Roman"/>
          <w:b/>
          <w:bCs/>
          <w:sz w:val="28"/>
          <w:szCs w:val="28"/>
        </w:rPr>
        <w:t xml:space="preserve">Section </w:t>
      </w:r>
      <w:r w:rsidR="00957ABB" w:rsidRPr="00C62ED5">
        <w:rPr>
          <w:rStyle w:val="None"/>
          <w:rFonts w:ascii="Times New Roman" w:hAnsi="Times New Roman" w:cs="Times New Roman"/>
          <w:b/>
          <w:bCs/>
          <w:sz w:val="28"/>
          <w:szCs w:val="28"/>
        </w:rPr>
        <w:t>14</w:t>
      </w:r>
      <w:r w:rsidRPr="00C62ED5">
        <w:rPr>
          <w:rStyle w:val="None"/>
          <w:rFonts w:ascii="Times New Roman" w:hAnsi="Times New Roman" w:cs="Times New Roman"/>
          <w:b/>
          <w:bCs/>
          <w:sz w:val="28"/>
          <w:szCs w:val="28"/>
        </w:rPr>
        <w:t xml:space="preserve">. Ancillaries </w:t>
      </w:r>
      <w:r w:rsidR="00B63947" w:rsidRPr="00C62ED5">
        <w:rPr>
          <w:rStyle w:val="None"/>
          <w:rFonts w:ascii="Times New Roman" w:hAnsi="Times New Roman" w:cs="Times New Roman"/>
          <w:b/>
          <w:bCs/>
          <w:sz w:val="28"/>
          <w:szCs w:val="28"/>
        </w:rPr>
        <w:t xml:space="preserve">- </w:t>
      </w:r>
      <w:r w:rsidRPr="00C62ED5">
        <w:rPr>
          <w:rStyle w:val="None"/>
          <w:rFonts w:ascii="Times New Roman" w:hAnsi="Times New Roman" w:cs="Times New Roman"/>
          <w:b/>
          <w:bCs/>
          <w:sz w:val="28"/>
          <w:szCs w:val="28"/>
        </w:rPr>
        <w:t>VCS</w:t>
      </w:r>
    </w:p>
    <w:p w14:paraId="02FCD441" w14:textId="77777777" w:rsidR="00185232" w:rsidRDefault="006074F5" w:rsidP="00466750">
      <w:pPr>
        <w:pStyle w:val="ListParagraph"/>
        <w:numPr>
          <w:ilvl w:val="0"/>
          <w:numId w:val="10"/>
        </w:numPr>
        <w:spacing w:after="0"/>
        <w:jc w:val="both"/>
        <w:rPr>
          <w:rFonts w:ascii="Times New Roman" w:hAnsi="Times New Roman"/>
          <w:sz w:val="24"/>
          <w:szCs w:val="24"/>
        </w:rPr>
      </w:pPr>
      <w:r w:rsidRPr="002D3A6E">
        <w:rPr>
          <w:rFonts w:ascii="Times New Roman" w:hAnsi="Times New Roman"/>
          <w:color w:val="auto"/>
          <w:sz w:val="24"/>
          <w:szCs w:val="24"/>
        </w:rPr>
        <w:t xml:space="preserve">Either perform in person (better) or review VCS performed online at </w:t>
      </w:r>
      <w:hyperlink r:id="rId15" w:history="1">
        <w:r w:rsidRPr="002D3A6E">
          <w:rPr>
            <w:rStyle w:val="Hyperlink1"/>
            <w:rFonts w:ascii="Times New Roman" w:hAnsi="Times New Roman"/>
            <w:color w:val="auto"/>
            <w:sz w:val="24"/>
            <w:szCs w:val="24"/>
            <w:u w:val="none"/>
          </w:rPr>
          <w:t>www.survivingmold.com</w:t>
        </w:r>
      </w:hyperlink>
      <w:r w:rsidRPr="002D3A6E">
        <w:rPr>
          <w:rFonts w:ascii="Times New Roman" w:hAnsi="Times New Roman"/>
          <w:color w:val="auto"/>
          <w:sz w:val="24"/>
          <w:szCs w:val="24"/>
        </w:rPr>
        <w:t xml:space="preserve"> (accept no </w:t>
      </w:r>
      <w:r>
        <w:rPr>
          <w:rFonts w:ascii="Times New Roman" w:hAnsi="Times New Roman"/>
          <w:sz w:val="24"/>
          <w:szCs w:val="24"/>
        </w:rPr>
        <w:t>substitutes).</w:t>
      </w:r>
    </w:p>
    <w:p w14:paraId="3867626F" w14:textId="77777777" w:rsidR="00185232" w:rsidRDefault="006074F5" w:rsidP="00466750">
      <w:pPr>
        <w:pStyle w:val="ListParagraph"/>
        <w:numPr>
          <w:ilvl w:val="0"/>
          <w:numId w:val="10"/>
        </w:numPr>
        <w:spacing w:after="0"/>
        <w:jc w:val="both"/>
        <w:rPr>
          <w:rFonts w:ascii="Times New Roman" w:hAnsi="Times New Roman"/>
          <w:sz w:val="24"/>
          <w:szCs w:val="24"/>
        </w:rPr>
      </w:pPr>
      <w:r>
        <w:rPr>
          <w:rFonts w:ascii="Times New Roman" w:hAnsi="Times New Roman"/>
          <w:sz w:val="24"/>
          <w:szCs w:val="24"/>
        </w:rPr>
        <w:t>Look for inability to see 7 in column C or 6 in column D.</w:t>
      </w:r>
    </w:p>
    <w:p w14:paraId="7138053B" w14:textId="77777777" w:rsidR="00185232" w:rsidRDefault="006074F5" w:rsidP="00466750">
      <w:pPr>
        <w:pStyle w:val="ListParagraph"/>
        <w:numPr>
          <w:ilvl w:val="0"/>
          <w:numId w:val="10"/>
        </w:numPr>
        <w:spacing w:after="0"/>
        <w:jc w:val="both"/>
        <w:rPr>
          <w:rFonts w:ascii="Times New Roman" w:hAnsi="Times New Roman"/>
          <w:sz w:val="24"/>
          <w:szCs w:val="24"/>
        </w:rPr>
      </w:pPr>
      <w:r>
        <w:rPr>
          <w:rFonts w:ascii="Times New Roman" w:hAnsi="Times New Roman"/>
          <w:sz w:val="24"/>
          <w:szCs w:val="24"/>
        </w:rPr>
        <w:t>Near visual acuity must be better than 20:50</w:t>
      </w:r>
    </w:p>
    <w:p w14:paraId="0D2D8F2A" w14:textId="131489F3" w:rsidR="00185232" w:rsidRDefault="006074F5" w:rsidP="00466750">
      <w:pPr>
        <w:pStyle w:val="ListParagraph"/>
        <w:numPr>
          <w:ilvl w:val="0"/>
          <w:numId w:val="10"/>
        </w:numPr>
        <w:spacing w:after="0"/>
        <w:jc w:val="both"/>
        <w:rPr>
          <w:rFonts w:ascii="Times New Roman" w:hAnsi="Times New Roman"/>
          <w:sz w:val="24"/>
          <w:szCs w:val="24"/>
        </w:rPr>
      </w:pPr>
      <w:r>
        <w:rPr>
          <w:rFonts w:ascii="Times New Roman" w:hAnsi="Times New Roman"/>
          <w:sz w:val="24"/>
          <w:szCs w:val="24"/>
        </w:rPr>
        <w:t xml:space="preserve">Lighting must be greater than </w:t>
      </w:r>
      <w:r w:rsidR="00B415F4">
        <w:rPr>
          <w:rFonts w:ascii="Times New Roman" w:hAnsi="Times New Roman"/>
          <w:sz w:val="24"/>
          <w:szCs w:val="24"/>
        </w:rPr>
        <w:t>70-foot</w:t>
      </w:r>
      <w:r>
        <w:rPr>
          <w:rFonts w:ascii="Times New Roman" w:hAnsi="Times New Roman"/>
          <w:sz w:val="24"/>
          <w:szCs w:val="24"/>
        </w:rPr>
        <w:t xml:space="preserve"> lamberts (get a meter, do</w:t>
      </w:r>
      <w:r w:rsidR="00AF2134">
        <w:rPr>
          <w:rFonts w:ascii="Times New Roman" w:hAnsi="Times New Roman"/>
          <w:sz w:val="24"/>
          <w:szCs w:val="24"/>
        </w:rPr>
        <w:t xml:space="preserve"> no</w:t>
      </w:r>
      <w:r>
        <w:rPr>
          <w:rFonts w:ascii="Times New Roman" w:hAnsi="Times New Roman"/>
          <w:sz w:val="24"/>
          <w:szCs w:val="24"/>
        </w:rPr>
        <w:t>t guess)</w:t>
      </w:r>
    </w:p>
    <w:p w14:paraId="27D9F2EF" w14:textId="16E9EF9B" w:rsidR="00185232" w:rsidRDefault="006074F5" w:rsidP="00466750">
      <w:pPr>
        <w:pStyle w:val="ListParagraph"/>
        <w:numPr>
          <w:ilvl w:val="0"/>
          <w:numId w:val="10"/>
        </w:numPr>
        <w:spacing w:after="0"/>
        <w:jc w:val="both"/>
        <w:rPr>
          <w:rFonts w:ascii="Times New Roman" w:hAnsi="Times New Roman"/>
          <w:sz w:val="24"/>
          <w:szCs w:val="24"/>
        </w:rPr>
      </w:pPr>
      <w:r>
        <w:rPr>
          <w:rFonts w:ascii="Times New Roman" w:hAnsi="Times New Roman"/>
          <w:sz w:val="24"/>
          <w:szCs w:val="24"/>
        </w:rPr>
        <w:t xml:space="preserve">If positive VCS (shows deficit) and positive symptom clusters, </w:t>
      </w:r>
      <w:r w:rsidR="002C5960">
        <w:rPr>
          <w:rFonts w:ascii="Times New Roman" w:hAnsi="Times New Roman"/>
          <w:sz w:val="24"/>
          <w:szCs w:val="24"/>
        </w:rPr>
        <w:t xml:space="preserve">the </w:t>
      </w:r>
      <w:r>
        <w:rPr>
          <w:rFonts w:ascii="Times New Roman" w:hAnsi="Times New Roman"/>
          <w:sz w:val="24"/>
          <w:szCs w:val="24"/>
        </w:rPr>
        <w:t>likelihood of CIRS exceeds 98.5% (shown in 2005 and replicated routinely)</w:t>
      </w:r>
    </w:p>
    <w:p w14:paraId="6F4988E6" w14:textId="77777777" w:rsidR="00185232" w:rsidRDefault="00185232" w:rsidP="00466750">
      <w:pPr>
        <w:pStyle w:val="BodyA"/>
        <w:spacing w:after="0"/>
        <w:jc w:val="both"/>
      </w:pPr>
    </w:p>
    <w:p w14:paraId="7315C3BB" w14:textId="21850C88" w:rsidR="00185232" w:rsidRDefault="006074F5" w:rsidP="00466750">
      <w:pPr>
        <w:pStyle w:val="BodyA"/>
        <w:spacing w:after="0"/>
        <w:jc w:val="both"/>
      </w:pPr>
      <w:r>
        <w:rPr>
          <w:rStyle w:val="None"/>
          <w:rFonts w:ascii="Times New Roman" w:hAnsi="Times New Roman"/>
          <w:sz w:val="24"/>
          <w:szCs w:val="24"/>
        </w:rPr>
        <w:t xml:space="preserve">Visual contrast sensitivity (VCS) testing has been used clinically for years and remains the most accurate test for functional vision (25). </w:t>
      </w:r>
      <w:r w:rsidR="00651CC0">
        <w:rPr>
          <w:rStyle w:val="None"/>
          <w:rFonts w:ascii="Times New Roman" w:hAnsi="Times New Roman"/>
          <w:sz w:val="24"/>
          <w:szCs w:val="24"/>
        </w:rPr>
        <w:t xml:space="preserve">VCS testing is best done in person at each office visit.  </w:t>
      </w:r>
      <w:r>
        <w:rPr>
          <w:rStyle w:val="None"/>
          <w:rFonts w:ascii="Times New Roman" w:hAnsi="Times New Roman"/>
          <w:sz w:val="24"/>
          <w:szCs w:val="24"/>
        </w:rPr>
        <w:t>Contrast is one of the seven main functions</w:t>
      </w:r>
      <w:r w:rsidR="003B0644">
        <w:rPr>
          <w:rStyle w:val="None"/>
          <w:rFonts w:ascii="Times New Roman" w:hAnsi="Times New Roman"/>
          <w:sz w:val="24"/>
          <w:szCs w:val="24"/>
        </w:rPr>
        <w:t xml:space="preserve"> </w:t>
      </w:r>
      <w:r w:rsidR="0070041D">
        <w:rPr>
          <w:rStyle w:val="None"/>
          <w:rFonts w:ascii="Times New Roman" w:hAnsi="Times New Roman"/>
          <w:sz w:val="24"/>
          <w:szCs w:val="24"/>
        </w:rPr>
        <w:t xml:space="preserve">of </w:t>
      </w:r>
      <w:r w:rsidR="003B0644">
        <w:rPr>
          <w:rStyle w:val="None"/>
          <w:rFonts w:ascii="Times New Roman" w:hAnsi="Times New Roman"/>
          <w:sz w:val="24"/>
          <w:szCs w:val="24"/>
        </w:rPr>
        <w:t>vision</w:t>
      </w:r>
      <w:r>
        <w:rPr>
          <w:rStyle w:val="None"/>
          <w:rFonts w:ascii="Times New Roman" w:hAnsi="Times New Roman"/>
          <w:sz w:val="24"/>
          <w:szCs w:val="24"/>
        </w:rPr>
        <w:t xml:space="preserve"> </w:t>
      </w:r>
      <w:r w:rsidR="00EA13A0">
        <w:rPr>
          <w:rStyle w:val="None"/>
          <w:rFonts w:ascii="Times New Roman" w:hAnsi="Times New Roman"/>
          <w:sz w:val="24"/>
          <w:szCs w:val="24"/>
        </w:rPr>
        <w:t xml:space="preserve">facilitated by </w:t>
      </w:r>
      <w:r>
        <w:rPr>
          <w:rStyle w:val="None"/>
          <w:rFonts w:ascii="Times New Roman" w:hAnsi="Times New Roman"/>
          <w:sz w:val="24"/>
          <w:szCs w:val="24"/>
        </w:rPr>
        <w:t xml:space="preserve">the optic nerve </w:t>
      </w:r>
      <w:r w:rsidR="00EA13A0">
        <w:rPr>
          <w:rStyle w:val="None"/>
          <w:rFonts w:ascii="Times New Roman" w:hAnsi="Times New Roman"/>
          <w:sz w:val="24"/>
          <w:szCs w:val="24"/>
        </w:rPr>
        <w:t xml:space="preserve">which </w:t>
      </w:r>
      <w:r>
        <w:rPr>
          <w:rStyle w:val="None"/>
          <w:rFonts w:ascii="Times New Roman" w:hAnsi="Times New Roman"/>
          <w:sz w:val="24"/>
          <w:szCs w:val="24"/>
        </w:rPr>
        <w:t xml:space="preserve">provides the neurologic basis of vision. When we test for contrast, we control for other elements of vision such as near vision, far vision, static, motion, peripheral vision and night vision; we are looking only at contrast. Contrast is the ability to see an edge. What this means is that if I look at a door frame and I see a white background and a black door frame, I can identify what is background and what is frame very easily. Contrast sensitivity looks at the graded change of contrast at different light frequency (cycles per degree of visual arc) that we use to make a grid of five separate frequencies. This grid begins at 1.5 cycles per degree of visual arc extending in discrete intervals (3, 6, 12, 18) up to 18 cycles per degree of visual arc. Remember visual acuity is tested at 24 cycles per degree of visual arc. </w:t>
      </w:r>
    </w:p>
    <w:p w14:paraId="2502D798" w14:textId="77777777" w:rsidR="00185232" w:rsidRDefault="00185232" w:rsidP="00466750">
      <w:pPr>
        <w:pStyle w:val="BodyA"/>
        <w:spacing w:after="0"/>
        <w:jc w:val="both"/>
      </w:pPr>
    </w:p>
    <w:p w14:paraId="7915A307" w14:textId="66B63C5E" w:rsidR="00185232" w:rsidRDefault="006074F5" w:rsidP="00466750">
      <w:pPr>
        <w:pStyle w:val="BodyA"/>
        <w:spacing w:after="0"/>
        <w:jc w:val="both"/>
        <w:rPr>
          <w:rStyle w:val="None"/>
          <w:rFonts w:ascii="Times New Roman" w:hAnsi="Times New Roman"/>
          <w:sz w:val="24"/>
          <w:szCs w:val="24"/>
        </w:rPr>
      </w:pPr>
      <w:r>
        <w:rPr>
          <w:rStyle w:val="None"/>
          <w:rFonts w:ascii="Times New Roman" w:hAnsi="Times New Roman"/>
          <w:sz w:val="24"/>
          <w:szCs w:val="24"/>
        </w:rPr>
        <w:t>Dr. Ken Hudnell, neurotoxicologist for the US EPA NHEERL in Research Triangle Park, NC, was the first to use VCS testing in biotoxin illnesses. His landmark work in 1997 (32) paved the way for others to follow. Our group was able to reproduce the observations of Dr. Hudnell of visual contrast being abnormal in that same fish killing dinoflagellate (</w:t>
      </w:r>
      <w:r>
        <w:rPr>
          <w:rStyle w:val="None"/>
          <w:rFonts w:ascii="Times New Roman" w:hAnsi="Times New Roman"/>
          <w:i/>
          <w:iCs/>
          <w:sz w:val="24"/>
          <w:szCs w:val="24"/>
          <w:lang w:val="es-ES_tradnl"/>
        </w:rPr>
        <w:t>Pfiesteria</w:t>
      </w:r>
      <w:r>
        <w:rPr>
          <w:rStyle w:val="None"/>
          <w:rFonts w:ascii="Times New Roman" w:hAnsi="Times New Roman"/>
          <w:sz w:val="24"/>
          <w:szCs w:val="24"/>
        </w:rPr>
        <w:t xml:space="preserve">) illness, but treatment, beginning with cholestyramine, the first medication step of what is now a 11-step protocol, corrected the visual contrast abnormalities! With re-exposure, however, visual contrast deficits reappeared, identical to the initial deficits, usually within 36 hours. </w:t>
      </w:r>
    </w:p>
    <w:p w14:paraId="083E74DB" w14:textId="77777777" w:rsidR="00651CC0" w:rsidRDefault="00651CC0" w:rsidP="00466750">
      <w:pPr>
        <w:pStyle w:val="BodyA"/>
        <w:spacing w:after="0"/>
        <w:jc w:val="both"/>
        <w:rPr>
          <w:rStyle w:val="None"/>
          <w:rFonts w:ascii="Times New Roman" w:hAnsi="Times New Roman"/>
          <w:sz w:val="24"/>
          <w:szCs w:val="24"/>
        </w:rPr>
      </w:pPr>
    </w:p>
    <w:p w14:paraId="5F15B8EB" w14:textId="3DB5F416" w:rsidR="00651CC0" w:rsidRDefault="00651CC0" w:rsidP="00466750">
      <w:pPr>
        <w:pStyle w:val="BodyA"/>
        <w:spacing w:after="0"/>
        <w:jc w:val="both"/>
      </w:pPr>
      <w:r>
        <w:rPr>
          <w:rStyle w:val="None"/>
          <w:rFonts w:ascii="Times New Roman" w:hAnsi="Times New Roman"/>
          <w:sz w:val="24"/>
          <w:szCs w:val="24"/>
        </w:rPr>
        <w:t>If new symptoms are appearing during therapy, or if prior symptoms recrudesce, VCS can point the way to re-exposure (scores in columns C and/or D will fall). Do not use VCS to make nutritional-related diagnoses.</w:t>
      </w:r>
    </w:p>
    <w:p w14:paraId="4E1C4851" w14:textId="77777777" w:rsidR="00185232" w:rsidRDefault="00185232" w:rsidP="00466750">
      <w:pPr>
        <w:pStyle w:val="BodyA"/>
        <w:spacing w:after="0"/>
        <w:jc w:val="both"/>
      </w:pPr>
    </w:p>
    <w:p w14:paraId="0543E2B4" w14:textId="65B72E4E" w:rsidR="00185232" w:rsidRPr="002F33CB" w:rsidRDefault="006074F5" w:rsidP="00466750">
      <w:pPr>
        <w:pStyle w:val="BodyA"/>
        <w:spacing w:after="0"/>
        <w:jc w:val="both"/>
        <w:outlineLvl w:val="0"/>
        <w:rPr>
          <w:rFonts w:ascii="Times New Roman" w:hAnsi="Times New Roman" w:cs="Times New Roman"/>
        </w:rPr>
      </w:pPr>
      <w:r w:rsidRPr="002F33CB">
        <w:rPr>
          <w:rStyle w:val="None"/>
          <w:rFonts w:ascii="Times New Roman" w:hAnsi="Times New Roman" w:cs="Times New Roman"/>
          <w:b/>
          <w:bCs/>
          <w:sz w:val="28"/>
          <w:szCs w:val="28"/>
        </w:rPr>
        <w:t>Section 1</w:t>
      </w:r>
      <w:r w:rsidR="00957ABB" w:rsidRPr="002F33CB">
        <w:rPr>
          <w:rStyle w:val="None"/>
          <w:rFonts w:ascii="Times New Roman" w:hAnsi="Times New Roman" w:cs="Times New Roman"/>
          <w:b/>
          <w:bCs/>
          <w:sz w:val="28"/>
          <w:szCs w:val="28"/>
        </w:rPr>
        <w:t>5.</w:t>
      </w:r>
      <w:r w:rsidRPr="002F33CB">
        <w:rPr>
          <w:rStyle w:val="None"/>
          <w:rFonts w:ascii="Times New Roman" w:hAnsi="Times New Roman" w:cs="Times New Roman"/>
          <w:b/>
          <w:bCs/>
          <w:sz w:val="28"/>
          <w:szCs w:val="28"/>
        </w:rPr>
        <w:t xml:space="preserve"> Ancillaries </w:t>
      </w:r>
      <w:r w:rsidR="00B63947" w:rsidRPr="002F33CB">
        <w:rPr>
          <w:rStyle w:val="None"/>
          <w:rFonts w:ascii="Times New Roman" w:hAnsi="Times New Roman" w:cs="Times New Roman"/>
          <w:b/>
          <w:bCs/>
          <w:sz w:val="28"/>
          <w:szCs w:val="28"/>
        </w:rPr>
        <w:t xml:space="preserve">- </w:t>
      </w:r>
      <w:r w:rsidRPr="002F33CB">
        <w:rPr>
          <w:rStyle w:val="None"/>
          <w:rFonts w:ascii="Times New Roman" w:hAnsi="Times New Roman" w:cs="Times New Roman"/>
          <w:b/>
          <w:bCs/>
          <w:sz w:val="28"/>
          <w:szCs w:val="28"/>
        </w:rPr>
        <w:t>Transcriptomics</w:t>
      </w:r>
    </w:p>
    <w:p w14:paraId="185CC825" w14:textId="77777777" w:rsidR="00185232" w:rsidRDefault="006074F5" w:rsidP="00466750">
      <w:pPr>
        <w:pStyle w:val="BodyA"/>
        <w:spacing w:after="0"/>
        <w:jc w:val="both"/>
      </w:pPr>
      <w:r>
        <w:rPr>
          <w:rStyle w:val="None"/>
          <w:rFonts w:ascii="Times New Roman" w:hAnsi="Times New Roman"/>
          <w:sz w:val="24"/>
          <w:szCs w:val="24"/>
        </w:rPr>
        <w:t>The most sophisticated genomic testing available today is transcriptomics. We look at differential gene activation using a Next Generation DNA Sequencer that performs RNA Seq. The Human Genome Project, completed in the early 2000’s at the cost of billions of dollars, identified thousands of genes that code for proteins. What we saw then was the total genome structure, including duplicate copies called copy number variation (CNVs). Later, we learned that everyone had slight variations in their genes, called single nucleotide polymorphisms or SNPs. Many of these SNPs are now known to be important markers of disease because they can indicate a change in protein function or activity. However, these SNPs are fixed and do not change throughout your life. The most impactful modulator of cellular activity is likely differential gene expression, since the amount of the gene expressed is ultimately in control of protein levels and cellular output. Based on current conditions, the genome will output a certain combination of genes, but when the conditions change, the gene output will change to best adapt to the new conditions or demands. This is generally what determines one’s day to day, or even morning to night physiology.</w:t>
      </w:r>
    </w:p>
    <w:p w14:paraId="3A76E21F" w14:textId="77777777" w:rsidR="00185232" w:rsidRDefault="006074F5" w:rsidP="00466750">
      <w:pPr>
        <w:pStyle w:val="BodyA"/>
        <w:spacing w:after="0"/>
        <w:jc w:val="both"/>
      </w:pPr>
      <w:r>
        <w:rPr>
          <w:rStyle w:val="None"/>
          <w:rFonts w:ascii="Times New Roman" w:hAnsi="Times New Roman"/>
          <w:sz w:val="24"/>
          <w:szCs w:val="24"/>
        </w:rPr>
        <w:t xml:space="preserve"> </w:t>
      </w:r>
    </w:p>
    <w:p w14:paraId="7DCD9F51" w14:textId="77777777" w:rsidR="00185232" w:rsidRDefault="006074F5" w:rsidP="00466750">
      <w:pPr>
        <w:pStyle w:val="BodyA"/>
        <w:spacing w:after="0"/>
        <w:jc w:val="both"/>
      </w:pPr>
      <w:r>
        <w:rPr>
          <w:rStyle w:val="None"/>
          <w:rFonts w:ascii="Times New Roman" w:hAnsi="Times New Roman"/>
          <w:sz w:val="24"/>
          <w:szCs w:val="24"/>
        </w:rPr>
        <w:t>What neither the first sequencing of the human genome, nor the later identification of various SNPs, could identify is this dynamic yet critical differential gene activity.</w:t>
      </w:r>
    </w:p>
    <w:p w14:paraId="5465E162" w14:textId="77777777" w:rsidR="00185232" w:rsidRDefault="00185232" w:rsidP="00466750">
      <w:pPr>
        <w:pStyle w:val="BodyA"/>
        <w:spacing w:after="0"/>
        <w:jc w:val="both"/>
      </w:pPr>
    </w:p>
    <w:p w14:paraId="63844949" w14:textId="3F7856E1" w:rsidR="00185232" w:rsidRDefault="006074F5" w:rsidP="00466750">
      <w:pPr>
        <w:pStyle w:val="BodyA"/>
        <w:spacing w:after="0"/>
        <w:jc w:val="both"/>
      </w:pPr>
      <w:r>
        <w:rPr>
          <w:rStyle w:val="None"/>
          <w:rFonts w:ascii="Times New Roman" w:hAnsi="Times New Roman"/>
          <w:sz w:val="24"/>
          <w:szCs w:val="24"/>
        </w:rPr>
        <w:t>Remarkably, environmental stimuli, and there are many, can cause gene activation in minutes, if not faster. Such rapid changes in gene activity provide incredibly precise adaptations of the host to a rapidly changing environment. If the host is a one-celled creature, like bacteria or a fungus, it might be easier to conceive of the survival benefits that accrue from rapid responses to moisture, foodstuffs and chemical signals. Yet the same concepts apply to “higher”</w:t>
      </w:r>
      <w:r w:rsidR="001A562C">
        <w:rPr>
          <w:rStyle w:val="None"/>
          <w:rFonts w:ascii="Times New Roman" w:hAnsi="Times New Roman"/>
          <w:sz w:val="24"/>
          <w:szCs w:val="24"/>
        </w:rPr>
        <w:t>,</w:t>
      </w:r>
      <w:r>
        <w:rPr>
          <w:rStyle w:val="None"/>
          <w:rFonts w:ascii="Times New Roman" w:hAnsi="Times New Roman"/>
          <w:sz w:val="24"/>
          <w:szCs w:val="24"/>
        </w:rPr>
        <w:t xml:space="preserve"> more complicated life-forms, like humans, as well.</w:t>
      </w:r>
    </w:p>
    <w:p w14:paraId="64FC69CE" w14:textId="77777777" w:rsidR="00185232" w:rsidRDefault="00185232" w:rsidP="00466750">
      <w:pPr>
        <w:pStyle w:val="BodyA"/>
        <w:spacing w:after="0"/>
        <w:jc w:val="both"/>
      </w:pPr>
    </w:p>
    <w:p w14:paraId="42740071" w14:textId="7E3B0FD7" w:rsidR="00185232" w:rsidRDefault="006074F5" w:rsidP="00466750">
      <w:pPr>
        <w:pStyle w:val="BodyA"/>
        <w:spacing w:after="0"/>
        <w:jc w:val="both"/>
      </w:pPr>
      <w:r>
        <w:rPr>
          <w:rStyle w:val="None"/>
          <w:rFonts w:ascii="Times New Roman" w:hAnsi="Times New Roman"/>
          <w:sz w:val="24"/>
          <w:szCs w:val="24"/>
        </w:rPr>
        <w:t>We now know that the static genome is actively manipulated, constantly increasing production of some gene transcripts and decreasing others in response to its environment. Regulation is complex: nuclear transcription factors and newly discovered long non-coding RNAs, together with microRNAs and circular RNAs, as well as methylation and acetylation (do</w:t>
      </w:r>
      <w:r w:rsidR="00AF2134">
        <w:rPr>
          <w:rStyle w:val="None"/>
          <w:rFonts w:ascii="Times New Roman" w:hAnsi="Times New Roman"/>
          <w:sz w:val="24"/>
          <w:szCs w:val="24"/>
        </w:rPr>
        <w:t xml:space="preserve"> no</w:t>
      </w:r>
      <w:r>
        <w:rPr>
          <w:rStyle w:val="None"/>
          <w:rFonts w:ascii="Times New Roman" w:hAnsi="Times New Roman"/>
          <w:sz w:val="24"/>
          <w:szCs w:val="24"/>
        </w:rPr>
        <w:t>t forget demethylation and deacetylation!) can shut off and turn on gene function. If this sounds complicated, it is. Research into the interacting complexities of so many layers of regulation ha</w:t>
      </w:r>
      <w:r w:rsidR="000B7580">
        <w:rPr>
          <w:rStyle w:val="None"/>
          <w:rFonts w:ascii="Times New Roman" w:hAnsi="Times New Roman"/>
          <w:sz w:val="24"/>
          <w:szCs w:val="24"/>
        </w:rPr>
        <w:t xml:space="preserve">s progressed beyond its </w:t>
      </w:r>
      <w:r w:rsidR="00B415F4">
        <w:rPr>
          <w:rStyle w:val="None"/>
          <w:rFonts w:ascii="Times New Roman" w:hAnsi="Times New Roman"/>
          <w:sz w:val="24"/>
          <w:szCs w:val="24"/>
        </w:rPr>
        <w:t>infancy,</w:t>
      </w:r>
      <w:r>
        <w:rPr>
          <w:rStyle w:val="None"/>
          <w:rFonts w:ascii="Times New Roman" w:hAnsi="Times New Roman"/>
          <w:sz w:val="24"/>
          <w:szCs w:val="24"/>
        </w:rPr>
        <w:t xml:space="preserve"> but new discoveries are published every month. </w:t>
      </w:r>
    </w:p>
    <w:p w14:paraId="7741CB82" w14:textId="77777777" w:rsidR="00185232" w:rsidRDefault="00185232" w:rsidP="00466750">
      <w:pPr>
        <w:pStyle w:val="BodyA"/>
        <w:spacing w:after="0"/>
        <w:jc w:val="both"/>
      </w:pPr>
    </w:p>
    <w:p w14:paraId="32293FFA" w14:textId="1F45B5A5" w:rsidR="00185232" w:rsidRDefault="006074F5" w:rsidP="00466750">
      <w:pPr>
        <w:pStyle w:val="BodyA"/>
        <w:spacing w:after="0"/>
        <w:jc w:val="both"/>
      </w:pPr>
      <w:r>
        <w:rPr>
          <w:rStyle w:val="None"/>
          <w:rFonts w:ascii="Times New Roman" w:hAnsi="Times New Roman"/>
          <w:sz w:val="24"/>
          <w:szCs w:val="24"/>
        </w:rPr>
        <w:t xml:space="preserve">We are at the beginning of a new era in science where we can use genomics, </w:t>
      </w:r>
      <w:r w:rsidRPr="000D3425">
        <w:rPr>
          <w:rStyle w:val="None"/>
          <w:rFonts w:ascii="Times New Roman" w:hAnsi="Times New Roman"/>
          <w:i/>
          <w:sz w:val="24"/>
          <w:szCs w:val="24"/>
        </w:rPr>
        <w:t xml:space="preserve">transcriptomics </w:t>
      </w:r>
      <w:r>
        <w:rPr>
          <w:rStyle w:val="None"/>
          <w:rFonts w:ascii="Times New Roman" w:hAnsi="Times New Roman"/>
          <w:sz w:val="24"/>
          <w:szCs w:val="24"/>
        </w:rPr>
        <w:t>for those that are sticklers for words, to our advantage in that we could find a distinct fingerprint for CIRS from water-damaged buildings, another for</w:t>
      </w:r>
      <w:r>
        <w:rPr>
          <w:rStyle w:val="None"/>
          <w:rFonts w:ascii="Times New Roman" w:hAnsi="Times New Roman"/>
          <w:sz w:val="24"/>
          <w:szCs w:val="24"/>
          <w:lang w:val="it-IT"/>
        </w:rPr>
        <w:t xml:space="preserve"> ciguatera and </w:t>
      </w:r>
      <w:r>
        <w:rPr>
          <w:rStyle w:val="None"/>
          <w:rFonts w:ascii="Times New Roman" w:hAnsi="Times New Roman"/>
          <w:sz w:val="24"/>
          <w:szCs w:val="24"/>
        </w:rPr>
        <w:t xml:space="preserve">another for PLS. </w:t>
      </w:r>
      <w:r w:rsidR="001A562C">
        <w:rPr>
          <w:rStyle w:val="None"/>
          <w:rFonts w:ascii="Times New Roman" w:hAnsi="Times New Roman"/>
          <w:sz w:val="24"/>
          <w:szCs w:val="24"/>
        </w:rPr>
        <w:t xml:space="preserve">Not only will transcriptomics aid diagnostically but will likely also revolutionize individualized therapy to many illnesses, CIRS included.  </w:t>
      </w:r>
      <w:r>
        <w:rPr>
          <w:rStyle w:val="None"/>
          <w:rFonts w:ascii="Times New Roman" w:hAnsi="Times New Roman"/>
          <w:sz w:val="24"/>
          <w:szCs w:val="24"/>
        </w:rPr>
        <w:t xml:space="preserve">The application of genomics to human illness is just in its infancy. </w:t>
      </w:r>
    </w:p>
    <w:p w14:paraId="04A56E3A" w14:textId="77777777" w:rsidR="00957ABB" w:rsidRDefault="00957ABB" w:rsidP="00466750">
      <w:pPr>
        <w:pStyle w:val="BodyA"/>
        <w:spacing w:after="0"/>
        <w:jc w:val="both"/>
      </w:pPr>
    </w:p>
    <w:p w14:paraId="46C61F05" w14:textId="7FD1B73D" w:rsidR="00185232" w:rsidRPr="00957ABB" w:rsidRDefault="006074F5" w:rsidP="00466750">
      <w:pPr>
        <w:pStyle w:val="BodyA"/>
        <w:spacing w:after="0"/>
        <w:jc w:val="both"/>
        <w:outlineLvl w:val="0"/>
      </w:pPr>
      <w:r w:rsidRPr="002D3A6E">
        <w:rPr>
          <w:rStyle w:val="None"/>
          <w:rFonts w:ascii="Times New Roman" w:hAnsi="Times New Roman"/>
          <w:b/>
          <w:bCs/>
          <w:sz w:val="28"/>
          <w:szCs w:val="28"/>
        </w:rPr>
        <w:t xml:space="preserve">Section </w:t>
      </w:r>
      <w:r w:rsidR="00957ABB" w:rsidRPr="002D3A6E">
        <w:rPr>
          <w:rStyle w:val="None"/>
          <w:rFonts w:ascii="Times New Roman" w:hAnsi="Times New Roman"/>
          <w:b/>
          <w:bCs/>
          <w:sz w:val="28"/>
          <w:szCs w:val="28"/>
        </w:rPr>
        <w:t xml:space="preserve">16. </w:t>
      </w:r>
      <w:r w:rsidRPr="002D3A6E">
        <w:rPr>
          <w:rStyle w:val="None"/>
          <w:rFonts w:ascii="Times New Roman" w:hAnsi="Times New Roman"/>
          <w:b/>
          <w:bCs/>
          <w:sz w:val="28"/>
          <w:szCs w:val="28"/>
        </w:rPr>
        <w:t xml:space="preserve">Ancillaries </w:t>
      </w:r>
      <w:r w:rsidR="00B63947" w:rsidRPr="002D3A6E">
        <w:rPr>
          <w:rStyle w:val="None"/>
          <w:rFonts w:ascii="Times New Roman" w:hAnsi="Times New Roman"/>
          <w:b/>
          <w:bCs/>
          <w:sz w:val="28"/>
          <w:szCs w:val="28"/>
        </w:rPr>
        <w:t xml:space="preserve">- </w:t>
      </w:r>
      <w:r w:rsidRPr="002D3A6E">
        <w:rPr>
          <w:rStyle w:val="None"/>
          <w:rFonts w:ascii="Times New Roman" w:hAnsi="Times New Roman"/>
          <w:b/>
          <w:bCs/>
          <w:sz w:val="28"/>
          <w:szCs w:val="28"/>
        </w:rPr>
        <w:t>Pulmonary artery pressure</w:t>
      </w:r>
    </w:p>
    <w:p w14:paraId="6D09D602" w14:textId="77777777" w:rsidR="00185232" w:rsidRDefault="006074F5" w:rsidP="00466750">
      <w:pPr>
        <w:pStyle w:val="BodyA"/>
        <w:spacing w:after="0"/>
        <w:jc w:val="both"/>
      </w:pPr>
      <w:r>
        <w:rPr>
          <w:rStyle w:val="None"/>
          <w:rFonts w:ascii="Times New Roman" w:hAnsi="Times New Roman"/>
          <w:sz w:val="24"/>
          <w:szCs w:val="24"/>
        </w:rPr>
        <w:t>Additional objective indicators of physiologic complications due to an inflammatory response syndrome are obtained through echocardiography. “</w:t>
      </w:r>
      <w:r>
        <w:rPr>
          <w:rStyle w:val="None"/>
          <w:rFonts w:ascii="Times New Roman" w:hAnsi="Times New Roman"/>
          <w:sz w:val="24"/>
          <w:szCs w:val="24"/>
          <w:lang w:val="es-ES_tradnl"/>
        </w:rPr>
        <w:t>Echos</w:t>
      </w:r>
      <w:r>
        <w:rPr>
          <w:rStyle w:val="None"/>
          <w:rFonts w:ascii="Times New Roman" w:hAnsi="Times New Roman"/>
          <w:sz w:val="24"/>
          <w:szCs w:val="24"/>
        </w:rPr>
        <w:t>” are usually done resting, most often performed to assess function of the left ventricle as well as to assess the pumping function of the heart. Each echo will assess function of multiple cardiac structures; we are interested in the velocity of the tricuspid regurgitant flow, also called the tricuspid jet. Blood can go backwards from the right ventricle to the right atrium passing “the wrong way” across the tricuspid valve. The rate of backwards flow is measured in meters/second. The velocity is recorded accurately by the machine on at least four separate views during a routine echocardiogram. Curiously, cardiac sonographers are trained to label the tricuspid jet qualitatively as either absent, trace, mild or moderate. This is an unfortunate problem in that the CIRS health provider needs to know whether or not there is elevated pulmonary artery pressure, a result that must be calculated. Since the echo machine generates numbers for each of the four ways the jet is measured, an average can be generated.</w:t>
      </w:r>
    </w:p>
    <w:p w14:paraId="2D64034A" w14:textId="77777777" w:rsidR="00185232" w:rsidRDefault="00185232" w:rsidP="00466750">
      <w:pPr>
        <w:pStyle w:val="BodyA"/>
        <w:spacing w:after="0"/>
        <w:jc w:val="both"/>
      </w:pPr>
    </w:p>
    <w:p w14:paraId="70DEEB65" w14:textId="77777777" w:rsidR="00185232" w:rsidRDefault="006074F5" w:rsidP="00466750">
      <w:pPr>
        <w:pStyle w:val="BodyA"/>
        <w:spacing w:after="0"/>
        <w:jc w:val="both"/>
      </w:pPr>
      <w:r>
        <w:rPr>
          <w:rStyle w:val="None"/>
          <w:rFonts w:ascii="Times New Roman" w:hAnsi="Times New Roman"/>
          <w:sz w:val="24"/>
          <w:szCs w:val="24"/>
        </w:rPr>
        <w:t xml:space="preserve">We use the tricuspid jet velocity to calculate the pulmonary artery pressure indirectly. We square the tricuspid jet number and then multiply that number by 4. To that product, we add the right atrial pressure (usually between 5 and 10 mm) to give us a calculated pulmonary artery pressure. Any resting pulmonary artery pressure (PASP) greater or equal to 30mm of Hg is consistent with pulmonary hypertension. </w:t>
      </w:r>
      <w:r>
        <w:rPr>
          <w:rStyle w:val="None"/>
          <w:rFonts w:ascii="Times New Roman" w:hAnsi="Times New Roman"/>
          <w:i/>
          <w:iCs/>
          <w:sz w:val="24"/>
          <w:szCs w:val="24"/>
        </w:rPr>
        <w:t xml:space="preserve">Any tricuspid jet greater than 2.5 meters per second will arouse concern about pulmonary artery systolic pressure in people with CIRS. </w:t>
      </w:r>
    </w:p>
    <w:p w14:paraId="32F986C4" w14:textId="77777777" w:rsidR="00185232" w:rsidRDefault="00185232" w:rsidP="00466750">
      <w:pPr>
        <w:pStyle w:val="BodyA"/>
        <w:spacing w:after="0"/>
        <w:jc w:val="both"/>
      </w:pPr>
    </w:p>
    <w:p w14:paraId="29B3D775" w14:textId="77777777" w:rsidR="00185232" w:rsidRDefault="006074F5" w:rsidP="00466750">
      <w:pPr>
        <w:pStyle w:val="BodyA"/>
        <w:spacing w:after="0"/>
        <w:jc w:val="both"/>
      </w:pPr>
      <w:r>
        <w:rPr>
          <w:rStyle w:val="None"/>
          <w:rFonts w:ascii="Times New Roman" w:hAnsi="Times New Roman"/>
          <w:sz w:val="24"/>
          <w:szCs w:val="24"/>
        </w:rPr>
        <w:t xml:space="preserve">For individuals with normal pulmonary artery pressure at baseline or patients with health symptoms such as unexplained cough, shortness of breath or chest pain, it can be useful to perform stress echocardiography. In this modification of the basic echo technique, an individual has two sonograms done. The first is at baseline, as discussed. The second is done after maximal exercise, requiring a target heart rate of 90% of predicted. </w:t>
      </w:r>
    </w:p>
    <w:p w14:paraId="735D7D91" w14:textId="77777777" w:rsidR="00185232" w:rsidRDefault="00185232" w:rsidP="00466750">
      <w:pPr>
        <w:pStyle w:val="BodyA"/>
        <w:spacing w:after="0"/>
        <w:jc w:val="both"/>
      </w:pPr>
    </w:p>
    <w:p w14:paraId="64A70A40" w14:textId="77777777" w:rsidR="00185232" w:rsidRDefault="006074F5" w:rsidP="00466750">
      <w:pPr>
        <w:pStyle w:val="BodyA"/>
        <w:spacing w:after="0"/>
        <w:jc w:val="both"/>
      </w:pPr>
      <w:r>
        <w:rPr>
          <w:rStyle w:val="None"/>
          <w:rFonts w:ascii="Times New Roman" w:hAnsi="Times New Roman"/>
          <w:sz w:val="24"/>
          <w:szCs w:val="24"/>
        </w:rPr>
        <w:t xml:space="preserve">Stress testing is most often performed to look for problems with performance of the left ventricle. Exercise stress testing is a fundamental diagnostic aid that can help identify the presence of coronary artery disease. In our example, we are not looking for left ventricular problems; we want to know the pulmonary artery pressure change with exercise. Any rise in PASP pressure over 8 mm of Hg is abnormal. </w:t>
      </w:r>
    </w:p>
    <w:p w14:paraId="77412CB6" w14:textId="77777777" w:rsidR="00185232" w:rsidRDefault="00185232" w:rsidP="00466750">
      <w:pPr>
        <w:pStyle w:val="BodyA"/>
        <w:spacing w:after="0"/>
        <w:jc w:val="both"/>
      </w:pPr>
    </w:p>
    <w:p w14:paraId="1A5D3ECD" w14:textId="77777777" w:rsidR="00185232" w:rsidRDefault="006074F5" w:rsidP="00466750">
      <w:pPr>
        <w:pStyle w:val="BodyA"/>
        <w:spacing w:after="0"/>
        <w:jc w:val="both"/>
      </w:pPr>
      <w:r>
        <w:rPr>
          <w:rStyle w:val="None"/>
          <w:rFonts w:ascii="Times New Roman" w:hAnsi="Times New Roman"/>
          <w:sz w:val="24"/>
          <w:szCs w:val="24"/>
        </w:rPr>
        <w:t xml:space="preserve">The mechanics of performing a stress echo can become problematic. Here is someone, following possibly 11 minutes of maximal exercise, for example, exhausted, breathing heavily and leaning forward after the stress portion of this stress echo. Now the echo sonographer will insist that within 30 seconds the patient lie down. The out of breath patient lies down on the exam table for a repeat measurement of tricuspid jet. </w:t>
      </w:r>
    </w:p>
    <w:p w14:paraId="063EFB8B" w14:textId="77777777" w:rsidR="00185232" w:rsidRDefault="00185232" w:rsidP="00466750">
      <w:pPr>
        <w:pStyle w:val="BodyA"/>
        <w:spacing w:after="0"/>
        <w:jc w:val="both"/>
      </w:pPr>
    </w:p>
    <w:p w14:paraId="3944B865" w14:textId="77777777" w:rsidR="00185232" w:rsidRDefault="006074F5" w:rsidP="00466750">
      <w:pPr>
        <w:pStyle w:val="BodyA"/>
        <w:spacing w:after="0"/>
        <w:jc w:val="both"/>
      </w:pPr>
      <w:r>
        <w:rPr>
          <w:rStyle w:val="None"/>
          <w:rFonts w:ascii="Times New Roman" w:hAnsi="Times New Roman"/>
          <w:sz w:val="24"/>
          <w:szCs w:val="24"/>
        </w:rPr>
        <w:t xml:space="preserve">As you might imagine, most sonographers are not asked to interrogate the tricuspid valve after exercise. It helps to talk to your cardiopulmonary staff to make sure they know exactly where they are going to place their transducer before the exercise begins. </w:t>
      </w:r>
    </w:p>
    <w:p w14:paraId="1C62DDAD" w14:textId="77777777" w:rsidR="00185232" w:rsidRDefault="00185232" w:rsidP="00466750">
      <w:pPr>
        <w:pStyle w:val="BodyA"/>
        <w:spacing w:after="0"/>
        <w:jc w:val="both"/>
      </w:pPr>
    </w:p>
    <w:p w14:paraId="17DEE74E" w14:textId="77777777" w:rsidR="00185232" w:rsidRDefault="006074F5" w:rsidP="00466750">
      <w:pPr>
        <w:pStyle w:val="BodyA"/>
        <w:spacing w:after="0"/>
        <w:jc w:val="both"/>
      </w:pPr>
      <w:r>
        <w:rPr>
          <w:rStyle w:val="None"/>
          <w:rFonts w:ascii="Times New Roman" w:hAnsi="Times New Roman"/>
          <w:sz w:val="24"/>
          <w:szCs w:val="24"/>
        </w:rPr>
        <w:t xml:space="preserve">We use pulmonary artery pressure as an inclusion criterion for use of vasoactive intestinal polypeptide (VIP) as treatment. If PA pressure rises more than 8 mm, the indication for use of VIP becomes stronger. </w:t>
      </w:r>
    </w:p>
    <w:p w14:paraId="5D5C4A51" w14:textId="77777777" w:rsidR="00185232" w:rsidRDefault="00185232" w:rsidP="00466750">
      <w:pPr>
        <w:pStyle w:val="BodyA"/>
        <w:spacing w:after="0"/>
        <w:jc w:val="both"/>
        <w:outlineLvl w:val="0"/>
      </w:pPr>
    </w:p>
    <w:p w14:paraId="4E2D2CBF" w14:textId="5C491FE9" w:rsidR="00185232" w:rsidRPr="002F33CB" w:rsidRDefault="006074F5" w:rsidP="00466750">
      <w:pPr>
        <w:pStyle w:val="BodyA"/>
        <w:spacing w:after="0"/>
        <w:jc w:val="both"/>
        <w:outlineLvl w:val="0"/>
        <w:rPr>
          <w:rFonts w:ascii="Times New Roman" w:hAnsi="Times New Roman" w:cs="Times New Roman"/>
        </w:rPr>
      </w:pPr>
      <w:r w:rsidRPr="002F33CB">
        <w:rPr>
          <w:rStyle w:val="None"/>
          <w:rFonts w:ascii="Times New Roman" w:hAnsi="Times New Roman" w:cs="Times New Roman"/>
          <w:b/>
          <w:bCs/>
          <w:sz w:val="28"/>
          <w:szCs w:val="28"/>
        </w:rPr>
        <w:t xml:space="preserve">Section </w:t>
      </w:r>
      <w:r w:rsidR="00957ABB" w:rsidRPr="002F33CB">
        <w:rPr>
          <w:rStyle w:val="None"/>
          <w:rFonts w:ascii="Times New Roman" w:hAnsi="Times New Roman" w:cs="Times New Roman"/>
          <w:b/>
          <w:bCs/>
          <w:sz w:val="28"/>
          <w:szCs w:val="28"/>
        </w:rPr>
        <w:t xml:space="preserve">17. </w:t>
      </w:r>
      <w:r w:rsidRPr="002F33CB">
        <w:rPr>
          <w:rStyle w:val="None"/>
          <w:rFonts w:ascii="Times New Roman" w:hAnsi="Times New Roman" w:cs="Times New Roman"/>
          <w:b/>
          <w:bCs/>
          <w:sz w:val="28"/>
          <w:szCs w:val="28"/>
        </w:rPr>
        <w:t xml:space="preserve">Ancillaries </w:t>
      </w:r>
      <w:r w:rsidR="00B63947" w:rsidRPr="002F33CB">
        <w:rPr>
          <w:rStyle w:val="None"/>
          <w:rFonts w:ascii="Times New Roman" w:hAnsi="Times New Roman" w:cs="Times New Roman"/>
          <w:b/>
          <w:bCs/>
          <w:sz w:val="28"/>
          <w:szCs w:val="28"/>
        </w:rPr>
        <w:t xml:space="preserve">- </w:t>
      </w:r>
      <w:r w:rsidRPr="002F33CB">
        <w:rPr>
          <w:rStyle w:val="None"/>
          <w:rFonts w:ascii="Times New Roman" w:hAnsi="Times New Roman" w:cs="Times New Roman"/>
          <w:b/>
          <w:bCs/>
          <w:sz w:val="28"/>
          <w:szCs w:val="28"/>
        </w:rPr>
        <w:t>VO</w:t>
      </w:r>
      <w:r w:rsidRPr="002F33CB">
        <w:rPr>
          <w:rStyle w:val="None"/>
          <w:rFonts w:ascii="Times New Roman" w:hAnsi="Times New Roman" w:cs="Times New Roman"/>
          <w:b/>
          <w:bCs/>
          <w:sz w:val="28"/>
          <w:szCs w:val="28"/>
          <w:vertAlign w:val="subscript"/>
        </w:rPr>
        <w:t>2</w:t>
      </w:r>
      <w:r w:rsidRPr="002F33CB">
        <w:rPr>
          <w:rStyle w:val="None"/>
          <w:rFonts w:ascii="Times New Roman" w:hAnsi="Times New Roman" w:cs="Times New Roman"/>
          <w:b/>
          <w:bCs/>
          <w:sz w:val="28"/>
          <w:szCs w:val="28"/>
        </w:rPr>
        <w:t xml:space="preserve"> max and anaerobic threshold</w:t>
      </w:r>
    </w:p>
    <w:p w14:paraId="361A797F" w14:textId="46A4C798" w:rsidR="00185232" w:rsidRDefault="006074F5" w:rsidP="00466750">
      <w:pPr>
        <w:pStyle w:val="BodyA"/>
        <w:spacing w:after="0"/>
        <w:jc w:val="both"/>
      </w:pPr>
      <w:r>
        <w:rPr>
          <w:rStyle w:val="None"/>
          <w:rFonts w:ascii="Times New Roman" w:hAnsi="Times New Roman"/>
          <w:sz w:val="24"/>
          <w:szCs w:val="24"/>
        </w:rPr>
        <w:t>Another important cardiovascular diagnostic test is a cardiopulmonary exercise test (CPET). While the name of this test sounds like a stress echo, it is different. This test measures oxygen us</w:t>
      </w:r>
      <w:r w:rsidR="000958C0">
        <w:rPr>
          <w:rStyle w:val="None"/>
          <w:rFonts w:ascii="Times New Roman" w:hAnsi="Times New Roman"/>
          <w:sz w:val="24"/>
          <w:szCs w:val="24"/>
        </w:rPr>
        <w:t>ag</w:t>
      </w:r>
      <w:r>
        <w:rPr>
          <w:rStyle w:val="None"/>
          <w:rFonts w:ascii="Times New Roman" w:hAnsi="Times New Roman"/>
          <w:sz w:val="24"/>
          <w:szCs w:val="24"/>
        </w:rPr>
        <w:t xml:space="preserve">e and carbon dioxide production in performance of exercise, usually on a bicycle. The test is somewhat cumbersome in that a patient is strapped to EKG monitors and is peddling maximally on a bike all the while breathing with hoses, tubes and a mask used to record oxygen consumption. </w:t>
      </w:r>
    </w:p>
    <w:p w14:paraId="30B3DC5F" w14:textId="77777777" w:rsidR="00185232" w:rsidRDefault="00185232" w:rsidP="00466750">
      <w:pPr>
        <w:pStyle w:val="BodyA"/>
        <w:spacing w:after="0"/>
        <w:jc w:val="both"/>
      </w:pPr>
    </w:p>
    <w:p w14:paraId="7F19FD2D" w14:textId="77777777" w:rsidR="00185232" w:rsidRDefault="006074F5" w:rsidP="00466750">
      <w:pPr>
        <w:pStyle w:val="BodyA"/>
        <w:spacing w:after="0"/>
        <w:jc w:val="both"/>
      </w:pPr>
      <w:r>
        <w:rPr>
          <w:rStyle w:val="None"/>
          <w:rFonts w:ascii="Times New Roman" w:hAnsi="Times New Roman"/>
          <w:sz w:val="24"/>
          <w:szCs w:val="24"/>
        </w:rPr>
        <w:t>In 2015, the Institute of Medicine (9) emphasized the importance of cardiopulmonary exercise testing in their redefinition of chronic fatigue syndrome (CFS) as Systemic Exercise Intolerance Disorder (SEID). This effort fell short, however, of making CPET a biomarker necessary to diagnose SEID. The IOM simply returned to an updated, but still inadequate, non-specific symptom-only definition, one that essentially applies to 100% of all CIRS cases.</w:t>
      </w:r>
    </w:p>
    <w:p w14:paraId="2312B14B" w14:textId="77777777" w:rsidR="00185232" w:rsidRDefault="00185232" w:rsidP="00466750">
      <w:pPr>
        <w:pStyle w:val="BodyA"/>
        <w:spacing w:after="0"/>
        <w:jc w:val="both"/>
      </w:pPr>
    </w:p>
    <w:p w14:paraId="1F284D29" w14:textId="77777777" w:rsidR="00185232" w:rsidRDefault="006074F5" w:rsidP="00466750">
      <w:pPr>
        <w:pStyle w:val="BodyA"/>
        <w:spacing w:after="0"/>
        <w:jc w:val="both"/>
      </w:pPr>
      <w:r>
        <w:rPr>
          <w:rStyle w:val="None"/>
          <w:rFonts w:ascii="Times New Roman" w:hAnsi="Times New Roman"/>
          <w:sz w:val="24"/>
          <w:szCs w:val="24"/>
        </w:rPr>
        <w:t>Much is known about the importance of VO</w:t>
      </w:r>
      <w:r w:rsidRPr="002D3A6E">
        <w:rPr>
          <w:rStyle w:val="None"/>
          <w:rFonts w:ascii="Times New Roman" w:hAnsi="Times New Roman"/>
          <w:sz w:val="24"/>
          <w:szCs w:val="24"/>
          <w:vertAlign w:val="subscript"/>
        </w:rPr>
        <w:t>2</w:t>
      </w:r>
      <w:r>
        <w:rPr>
          <w:rStyle w:val="None"/>
          <w:rFonts w:ascii="Times New Roman" w:hAnsi="Times New Roman"/>
          <w:sz w:val="24"/>
          <w:szCs w:val="24"/>
        </w:rPr>
        <w:t xml:space="preserve"> max (milliliters of oxygen consumed per kilogram per minute) as this is an important mechanism used to classify possible disability. We know that there is a difference between VO</w:t>
      </w:r>
      <w:r w:rsidRPr="002D3A6E">
        <w:rPr>
          <w:rStyle w:val="None"/>
          <w:rFonts w:ascii="Times New Roman" w:hAnsi="Times New Roman"/>
          <w:sz w:val="24"/>
          <w:szCs w:val="24"/>
          <w:vertAlign w:val="subscript"/>
        </w:rPr>
        <w:t>2</w:t>
      </w:r>
      <w:r>
        <w:rPr>
          <w:rStyle w:val="None"/>
          <w:rFonts w:ascii="Times New Roman" w:hAnsi="Times New Roman"/>
          <w:sz w:val="24"/>
          <w:szCs w:val="24"/>
        </w:rPr>
        <w:t xml:space="preserve"> max of women and men. We also know that age has a role in normal ranges for VO</w:t>
      </w:r>
      <w:r w:rsidRPr="002D3A6E">
        <w:rPr>
          <w:rStyle w:val="None"/>
          <w:rFonts w:ascii="Times New Roman" w:hAnsi="Times New Roman"/>
          <w:sz w:val="24"/>
          <w:szCs w:val="24"/>
          <w:vertAlign w:val="subscript"/>
        </w:rPr>
        <w:t>2</w:t>
      </w:r>
      <w:r>
        <w:rPr>
          <w:rStyle w:val="None"/>
          <w:rFonts w:ascii="Times New Roman" w:hAnsi="Times New Roman"/>
          <w:sz w:val="24"/>
          <w:szCs w:val="24"/>
        </w:rPr>
        <w:t xml:space="preserve"> max. Based on our practice data (unpublished), it is not unusual in the face of chronic fatiguing illness for a 50-year-old woman to have a VO</w:t>
      </w:r>
      <w:r w:rsidRPr="002D3A6E">
        <w:rPr>
          <w:rStyle w:val="None"/>
          <w:rFonts w:ascii="Times New Roman" w:hAnsi="Times New Roman"/>
          <w:sz w:val="24"/>
          <w:szCs w:val="24"/>
          <w:vertAlign w:val="subscript"/>
        </w:rPr>
        <w:t>2</w:t>
      </w:r>
      <w:r>
        <w:rPr>
          <w:rStyle w:val="None"/>
          <w:rFonts w:ascii="Times New Roman" w:hAnsi="Times New Roman"/>
          <w:sz w:val="24"/>
          <w:szCs w:val="24"/>
        </w:rPr>
        <w:t xml:space="preserve"> max of approximately 20 ml per kilogram per minute (with slightly higher values for men) raising the diagnosis of chronic fatiguing illness. </w:t>
      </w:r>
    </w:p>
    <w:p w14:paraId="6824D93C" w14:textId="77777777" w:rsidR="00185232" w:rsidRDefault="00185232" w:rsidP="00466750">
      <w:pPr>
        <w:pStyle w:val="BodyA"/>
        <w:spacing w:after="0"/>
        <w:jc w:val="both"/>
      </w:pPr>
    </w:p>
    <w:p w14:paraId="68AECD9A" w14:textId="77777777" w:rsidR="00185232" w:rsidRDefault="006074F5" w:rsidP="00466750">
      <w:pPr>
        <w:pStyle w:val="BodyA"/>
        <w:spacing w:after="0"/>
        <w:jc w:val="both"/>
      </w:pPr>
      <w:r>
        <w:rPr>
          <w:rStyle w:val="None"/>
          <w:rFonts w:ascii="Times New Roman" w:hAnsi="Times New Roman"/>
          <w:sz w:val="24"/>
          <w:szCs w:val="24"/>
        </w:rPr>
        <w:t>The tables for Cardiovascular Fitness Classification are published in the AMA Guides to Evaluation Disability and Impairment; Social Security uses VO</w:t>
      </w:r>
      <w:r w:rsidRPr="002D3A6E">
        <w:rPr>
          <w:rStyle w:val="None"/>
          <w:rFonts w:ascii="Times New Roman" w:hAnsi="Times New Roman"/>
          <w:sz w:val="24"/>
          <w:szCs w:val="24"/>
          <w:vertAlign w:val="subscript"/>
        </w:rPr>
        <w:t>2</w:t>
      </w:r>
      <w:r>
        <w:rPr>
          <w:rStyle w:val="None"/>
          <w:rFonts w:ascii="Times New Roman" w:hAnsi="Times New Roman"/>
          <w:sz w:val="24"/>
          <w:szCs w:val="24"/>
        </w:rPr>
        <w:t xml:space="preserve"> max as one of the key elements in assessing disability. </w:t>
      </w:r>
    </w:p>
    <w:p w14:paraId="151281FC" w14:textId="77777777" w:rsidR="00185232" w:rsidRDefault="00185232" w:rsidP="00466750">
      <w:pPr>
        <w:pStyle w:val="BodyA"/>
        <w:spacing w:after="0"/>
        <w:jc w:val="both"/>
      </w:pPr>
    </w:p>
    <w:p w14:paraId="02116FC0" w14:textId="77777777" w:rsidR="00185232" w:rsidRDefault="006074F5" w:rsidP="00466750">
      <w:pPr>
        <w:pStyle w:val="BodyA"/>
        <w:spacing w:after="0"/>
        <w:jc w:val="both"/>
      </w:pPr>
      <w:r>
        <w:rPr>
          <w:rStyle w:val="None"/>
          <w:rFonts w:ascii="Times New Roman" w:hAnsi="Times New Roman"/>
          <w:sz w:val="24"/>
          <w:szCs w:val="24"/>
        </w:rPr>
        <w:t>Functionally, even more important than VO</w:t>
      </w:r>
      <w:r w:rsidRPr="002D3A6E">
        <w:rPr>
          <w:rStyle w:val="None"/>
          <w:rFonts w:ascii="Times New Roman" w:hAnsi="Times New Roman"/>
          <w:sz w:val="24"/>
          <w:szCs w:val="24"/>
          <w:vertAlign w:val="subscript"/>
        </w:rPr>
        <w:t>2</w:t>
      </w:r>
      <w:r>
        <w:rPr>
          <w:rStyle w:val="None"/>
          <w:rFonts w:ascii="Times New Roman" w:hAnsi="Times New Roman"/>
          <w:sz w:val="24"/>
          <w:szCs w:val="24"/>
        </w:rPr>
        <w:t xml:space="preserve"> max is a delineation of anaerobic threshold (AT). This is the maximum level of activity achieved through available oxygen (aerobic metabolism).  Mitochondria, the energy powerhouses of the cell, need oxygen to break down fragments of glucose, releasing water, carbon dioxide and energy (ATP). For those with low AT, even walking slowly up a flight of stairs results in reduced oxygen delivery, in turn diminishing aerobic energy production. When AT is exceeded, as in the stairs example, oxygen is not available as needed for mitochondria to produce the full complement of 38 ATP from a single molecule of glucose. Without oxygen to supply the electron transport chain, a single glucose molecule will now just provide two molecules of ATP, or a 5% efficiency in the face of oxygen depletion. In turn, as glucose and glycogen stores are quickly exhausted, the energy depleted cell looks for additional sources of fuel. In the face of low MSH, leptin resistance is often present, preventing normal use (through direct beta oxidation) of fatty acids for fuel (the “second wind” most runners have experienced). In “desperation,” lean body mass, our protein reserves, are broken down into amino acids, with direct conversion of amino acids (especially alanine and glutamine) to glucose. The demand for ATP may create protein wasting syndromes that conserve fat reserves (the more detailed physiology can get complicated).</w:t>
      </w:r>
    </w:p>
    <w:p w14:paraId="71F8CC00" w14:textId="77777777" w:rsidR="00185232" w:rsidRDefault="00185232" w:rsidP="00466750">
      <w:pPr>
        <w:pStyle w:val="BodyA"/>
        <w:spacing w:after="0"/>
        <w:jc w:val="both"/>
      </w:pPr>
    </w:p>
    <w:p w14:paraId="70B6FF21" w14:textId="1BC9CD5F" w:rsidR="00185232" w:rsidRDefault="006074F5" w:rsidP="00466750">
      <w:pPr>
        <w:pStyle w:val="BodyA"/>
        <w:spacing w:after="0"/>
        <w:jc w:val="both"/>
      </w:pPr>
      <w:r>
        <w:rPr>
          <w:rStyle w:val="None"/>
          <w:rFonts w:ascii="Times New Roman" w:hAnsi="Times New Roman"/>
          <w:sz w:val="24"/>
          <w:szCs w:val="24"/>
        </w:rPr>
        <w:t>If AT is depressed, even trying to do a few things extra when a patient has a day with a bit more energy than most, results in glycogen depletion. Do</w:t>
      </w:r>
      <w:r w:rsidR="00AF2134">
        <w:rPr>
          <w:rStyle w:val="None"/>
          <w:rFonts w:ascii="Times New Roman" w:hAnsi="Times New Roman"/>
          <w:sz w:val="24"/>
          <w:szCs w:val="24"/>
        </w:rPr>
        <w:t xml:space="preserve"> no</w:t>
      </w:r>
      <w:r>
        <w:rPr>
          <w:rStyle w:val="None"/>
          <w:rFonts w:ascii="Times New Roman" w:hAnsi="Times New Roman"/>
          <w:sz w:val="24"/>
          <w:szCs w:val="24"/>
        </w:rPr>
        <w:t>t forget, glycogen replenishment is a slow process: patients will feel exhausted until their “batteries are recharged.” Terms for this commonly observed phenomenon include “push/crash;” “delayed recovery from normal activity;” and “</w:t>
      </w:r>
      <w:r>
        <w:rPr>
          <w:rStyle w:val="None"/>
          <w:rFonts w:ascii="Times New Roman" w:hAnsi="Times New Roman"/>
          <w:sz w:val="24"/>
          <w:szCs w:val="24"/>
          <w:lang w:val="fr-FR"/>
        </w:rPr>
        <w:t>post-exertional malaise.</w:t>
      </w:r>
      <w:r>
        <w:rPr>
          <w:rStyle w:val="None"/>
          <w:rFonts w:ascii="Times New Roman" w:hAnsi="Times New Roman"/>
          <w:sz w:val="24"/>
          <w:szCs w:val="24"/>
        </w:rPr>
        <w:t xml:space="preserve">”  Simply stated: </w:t>
      </w:r>
      <w:r w:rsidR="00B16DED">
        <w:rPr>
          <w:rStyle w:val="None"/>
          <w:rFonts w:ascii="Times New Roman" w:hAnsi="Times New Roman"/>
          <w:sz w:val="24"/>
          <w:szCs w:val="24"/>
        </w:rPr>
        <w:t>“</w:t>
      </w:r>
      <w:r>
        <w:rPr>
          <w:rStyle w:val="None"/>
          <w:rFonts w:ascii="Times New Roman" w:hAnsi="Times New Roman"/>
          <w:sz w:val="24"/>
          <w:szCs w:val="24"/>
        </w:rPr>
        <w:t>the patient did too much.”</w:t>
      </w:r>
    </w:p>
    <w:p w14:paraId="376691BF" w14:textId="77777777" w:rsidR="00185232" w:rsidRDefault="00185232" w:rsidP="00466750">
      <w:pPr>
        <w:pStyle w:val="BodyA"/>
        <w:spacing w:after="0"/>
        <w:jc w:val="both"/>
      </w:pPr>
    </w:p>
    <w:p w14:paraId="74F2107E" w14:textId="46C77C37" w:rsidR="00185232" w:rsidRDefault="006074F5" w:rsidP="00466750">
      <w:pPr>
        <w:pStyle w:val="BodyA"/>
        <w:spacing w:after="0"/>
        <w:jc w:val="both"/>
        <w:rPr>
          <w:rStyle w:val="None"/>
          <w:rFonts w:ascii="Times New Roman" w:hAnsi="Times New Roman"/>
          <w:sz w:val="24"/>
          <w:szCs w:val="24"/>
        </w:rPr>
      </w:pPr>
      <w:r>
        <w:rPr>
          <w:rStyle w:val="None"/>
          <w:rFonts w:ascii="Times New Roman" w:hAnsi="Times New Roman"/>
          <w:sz w:val="24"/>
          <w:szCs w:val="24"/>
        </w:rPr>
        <w:t>But contrary to the IOM opinion, low AT is not uncommon, not just in SEID. In CIRS, the oxygen delivery problem is complicated by lack of normal blood flow into capillary beds, not to mention nuclear encoded mitochondrial gene problems. Still, capillary hypoperfusion is the mechanism that underlies deficits in VCS which is a hallmark of CIRS.</w:t>
      </w:r>
    </w:p>
    <w:p w14:paraId="6DF52AEF" w14:textId="600C9FBC" w:rsidR="000958C0" w:rsidRDefault="000958C0" w:rsidP="00466750">
      <w:pPr>
        <w:pStyle w:val="BodyA"/>
        <w:spacing w:after="0"/>
        <w:jc w:val="both"/>
      </w:pPr>
    </w:p>
    <w:p w14:paraId="5F58D413" w14:textId="6ACA9D88" w:rsidR="000958C0" w:rsidRPr="002D3A6E" w:rsidRDefault="000958C0" w:rsidP="00466750">
      <w:pPr>
        <w:pStyle w:val="BodyA"/>
        <w:spacing w:after="0"/>
        <w:jc w:val="both"/>
        <w:rPr>
          <w:rFonts w:ascii="Times New Roman" w:hAnsi="Times New Roman" w:cs="Times New Roman"/>
          <w:sz w:val="24"/>
          <w:szCs w:val="24"/>
        </w:rPr>
      </w:pPr>
      <w:r w:rsidRPr="002D3A6E">
        <w:rPr>
          <w:rFonts w:ascii="Times New Roman" w:hAnsi="Times New Roman" w:cs="Times New Roman"/>
          <w:sz w:val="24"/>
          <w:szCs w:val="24"/>
        </w:rPr>
        <w:t xml:space="preserve">Performing CPET </w:t>
      </w:r>
      <w:r>
        <w:rPr>
          <w:rFonts w:ascii="Times New Roman" w:hAnsi="Times New Roman" w:cs="Times New Roman"/>
          <w:sz w:val="24"/>
          <w:szCs w:val="24"/>
        </w:rPr>
        <w:t>twice, 24 hours apart,</w:t>
      </w:r>
      <w:r w:rsidRPr="002D3A6E">
        <w:rPr>
          <w:rFonts w:ascii="Times New Roman" w:hAnsi="Times New Roman" w:cs="Times New Roman"/>
          <w:sz w:val="24"/>
          <w:szCs w:val="24"/>
        </w:rPr>
        <w:t xml:space="preserve"> </w:t>
      </w:r>
      <w:r>
        <w:rPr>
          <w:rFonts w:ascii="Times New Roman" w:hAnsi="Times New Roman" w:cs="Times New Roman"/>
          <w:sz w:val="24"/>
          <w:szCs w:val="24"/>
        </w:rPr>
        <w:t>can objectively document the push/crash syndrome.  Maximal effort on Day 1 often demonstrates low VO</w:t>
      </w:r>
      <w:r w:rsidRPr="002D3A6E">
        <w:rPr>
          <w:rFonts w:ascii="Times New Roman" w:hAnsi="Times New Roman" w:cs="Times New Roman"/>
          <w:sz w:val="24"/>
          <w:szCs w:val="24"/>
          <w:vertAlign w:val="subscript"/>
        </w:rPr>
        <w:t>2</w:t>
      </w:r>
      <w:r>
        <w:rPr>
          <w:rFonts w:ascii="Times New Roman" w:hAnsi="Times New Roman" w:cs="Times New Roman"/>
          <w:sz w:val="24"/>
          <w:szCs w:val="24"/>
        </w:rPr>
        <w:t xml:space="preserve"> max and impaired AT.  Because maximal effort was given (push)</w:t>
      </w:r>
      <w:r w:rsidR="00B3518F">
        <w:rPr>
          <w:rFonts w:ascii="Times New Roman" w:hAnsi="Times New Roman" w:cs="Times New Roman"/>
          <w:sz w:val="24"/>
          <w:szCs w:val="24"/>
        </w:rPr>
        <w:t xml:space="preserve"> the first day</w:t>
      </w:r>
      <w:r>
        <w:rPr>
          <w:rFonts w:ascii="Times New Roman" w:hAnsi="Times New Roman" w:cs="Times New Roman"/>
          <w:sz w:val="24"/>
          <w:szCs w:val="24"/>
        </w:rPr>
        <w:t>, at risk CIRS patients will often perform even more poorly (crash) on Day 2.  VO</w:t>
      </w:r>
      <w:r w:rsidRPr="002D3A6E">
        <w:rPr>
          <w:rFonts w:ascii="Times New Roman" w:hAnsi="Times New Roman" w:cs="Times New Roman"/>
          <w:sz w:val="24"/>
          <w:szCs w:val="24"/>
          <w:vertAlign w:val="subscript"/>
        </w:rPr>
        <w:t>2</w:t>
      </w:r>
      <w:r>
        <w:rPr>
          <w:rFonts w:ascii="Times New Roman" w:hAnsi="Times New Roman" w:cs="Times New Roman"/>
          <w:sz w:val="24"/>
          <w:szCs w:val="24"/>
        </w:rPr>
        <w:t xml:space="preserve"> max and AT are commonly even lower on the second day </w:t>
      </w:r>
      <w:r w:rsidR="00B3518F">
        <w:rPr>
          <w:rFonts w:ascii="Times New Roman" w:hAnsi="Times New Roman" w:cs="Times New Roman"/>
          <w:sz w:val="24"/>
          <w:szCs w:val="24"/>
        </w:rPr>
        <w:t>highlighting the</w:t>
      </w:r>
      <w:r>
        <w:rPr>
          <w:rFonts w:ascii="Times New Roman" w:hAnsi="Times New Roman" w:cs="Times New Roman"/>
          <w:sz w:val="24"/>
          <w:szCs w:val="24"/>
        </w:rPr>
        <w:t xml:space="preserve"> push/crash</w:t>
      </w:r>
      <w:r w:rsidR="00B3518F">
        <w:rPr>
          <w:rFonts w:ascii="Times New Roman" w:hAnsi="Times New Roman" w:cs="Times New Roman"/>
          <w:sz w:val="24"/>
          <w:szCs w:val="24"/>
        </w:rPr>
        <w:t xml:space="preserve"> phenomenon</w:t>
      </w:r>
      <w:r>
        <w:rPr>
          <w:rFonts w:ascii="Times New Roman" w:hAnsi="Times New Roman" w:cs="Times New Roman"/>
          <w:sz w:val="24"/>
          <w:szCs w:val="24"/>
        </w:rPr>
        <w:t>.  CPET performed over two consecutive days can provide objective evidence of physical disability.</w:t>
      </w:r>
    </w:p>
    <w:p w14:paraId="056FB640" w14:textId="77777777" w:rsidR="00185232" w:rsidRDefault="00185232" w:rsidP="00466750">
      <w:pPr>
        <w:pStyle w:val="BodyA"/>
        <w:tabs>
          <w:tab w:val="left" w:pos="6875"/>
        </w:tabs>
        <w:spacing w:after="0"/>
        <w:jc w:val="both"/>
      </w:pPr>
    </w:p>
    <w:p w14:paraId="4A206FEE" w14:textId="6F4D650D" w:rsidR="00185232" w:rsidRPr="002F33CB" w:rsidRDefault="006074F5" w:rsidP="00466750">
      <w:pPr>
        <w:pStyle w:val="BodyA"/>
        <w:tabs>
          <w:tab w:val="left" w:pos="6875"/>
        </w:tabs>
        <w:spacing w:after="0"/>
        <w:jc w:val="both"/>
        <w:rPr>
          <w:rFonts w:ascii="Times New Roman" w:hAnsi="Times New Roman" w:cs="Times New Roman"/>
        </w:rPr>
      </w:pPr>
      <w:r w:rsidRPr="002F33CB">
        <w:rPr>
          <w:rStyle w:val="None"/>
          <w:rFonts w:ascii="Times New Roman" w:hAnsi="Times New Roman" w:cs="Times New Roman"/>
          <w:b/>
          <w:bCs/>
          <w:sz w:val="28"/>
          <w:szCs w:val="28"/>
          <w:lang w:val="de-DE"/>
        </w:rPr>
        <w:t xml:space="preserve">Section </w:t>
      </w:r>
      <w:r w:rsidR="00957ABB" w:rsidRPr="002F33CB">
        <w:rPr>
          <w:rStyle w:val="None"/>
          <w:rFonts w:ascii="Times New Roman" w:hAnsi="Times New Roman" w:cs="Times New Roman"/>
          <w:b/>
          <w:bCs/>
          <w:sz w:val="28"/>
          <w:szCs w:val="28"/>
          <w:lang w:val="de-DE"/>
        </w:rPr>
        <w:t xml:space="preserve">18. </w:t>
      </w:r>
      <w:r w:rsidRPr="002F33CB">
        <w:rPr>
          <w:rStyle w:val="None"/>
          <w:rFonts w:ascii="Times New Roman" w:hAnsi="Times New Roman" w:cs="Times New Roman"/>
          <w:b/>
          <w:bCs/>
          <w:sz w:val="28"/>
          <w:szCs w:val="28"/>
          <w:lang w:val="de-DE"/>
        </w:rPr>
        <w:t xml:space="preserve">Ancillaries </w:t>
      </w:r>
      <w:r w:rsidR="00B63947" w:rsidRPr="002F33CB">
        <w:rPr>
          <w:rStyle w:val="None"/>
          <w:rFonts w:ascii="Times New Roman" w:hAnsi="Times New Roman" w:cs="Times New Roman"/>
          <w:b/>
          <w:bCs/>
          <w:sz w:val="28"/>
          <w:szCs w:val="28"/>
          <w:lang w:val="de-DE"/>
        </w:rPr>
        <w:t xml:space="preserve">- </w:t>
      </w:r>
      <w:r w:rsidRPr="002F33CB">
        <w:rPr>
          <w:rStyle w:val="None"/>
          <w:rFonts w:ascii="Times New Roman" w:hAnsi="Times New Roman" w:cs="Times New Roman"/>
          <w:b/>
          <w:bCs/>
          <w:sz w:val="28"/>
          <w:szCs w:val="28"/>
          <w:lang w:val="de-DE"/>
        </w:rPr>
        <w:t>von Willebrand</w:t>
      </w:r>
      <w:r w:rsidRPr="002F33CB">
        <w:rPr>
          <w:rStyle w:val="None"/>
          <w:rFonts w:ascii="Times New Roman" w:hAnsi="Times New Roman" w:cs="Times New Roman"/>
          <w:b/>
          <w:bCs/>
          <w:sz w:val="28"/>
          <w:szCs w:val="28"/>
        </w:rPr>
        <w:t>’s factors</w:t>
      </w:r>
    </w:p>
    <w:p w14:paraId="5972E10A" w14:textId="77777777" w:rsidR="00185232" w:rsidRDefault="006074F5" w:rsidP="00466750">
      <w:pPr>
        <w:pStyle w:val="BodyA"/>
        <w:spacing w:after="0"/>
        <w:jc w:val="both"/>
      </w:pPr>
      <w:r>
        <w:rPr>
          <w:rStyle w:val="None"/>
          <w:rFonts w:ascii="Times New Roman" w:hAnsi="Times New Roman"/>
          <w:sz w:val="24"/>
          <w:szCs w:val="24"/>
        </w:rPr>
        <w:t xml:space="preserve">Additional problems in CIRS paradoxically include both excessive clotting and bleeding. Just like in sepsis, where multiple inflammatory mediators are activated including complement, Th1, Th2 and Th17, coagulation defects also appear. So too for CIRS: fully two thirds of CIRS patients will have abnormalities in a comprehensive von Willebrand’s profile (data not published).  </w:t>
      </w:r>
    </w:p>
    <w:p w14:paraId="273025D5" w14:textId="77777777" w:rsidR="00185232" w:rsidRDefault="00185232" w:rsidP="00466750">
      <w:pPr>
        <w:pStyle w:val="BodyA"/>
        <w:spacing w:after="0"/>
        <w:jc w:val="both"/>
      </w:pPr>
    </w:p>
    <w:p w14:paraId="7D28371D" w14:textId="0616D882" w:rsidR="00185232" w:rsidRDefault="006074F5" w:rsidP="00466750">
      <w:pPr>
        <w:pStyle w:val="BodyA"/>
        <w:spacing w:after="0"/>
        <w:jc w:val="both"/>
      </w:pPr>
      <w:r>
        <w:rPr>
          <w:rStyle w:val="None"/>
          <w:rFonts w:ascii="Times New Roman" w:hAnsi="Times New Roman"/>
          <w:sz w:val="24"/>
          <w:szCs w:val="24"/>
        </w:rPr>
        <w:t>In CIRS, shortness of breath will be reported by over 80% of patients. Asthma might be involved, but restrictive lung disease, interstitial lung disease and pulmonary emboli are all primary features of the differential diagnosis. Similarly, when exposure to a building results in unexplained nosebleeds and hemoptysis, immediately think of acquired von Willebrand’s disease (AvWD), an easily treated condition using a medication (</w:t>
      </w:r>
      <w:r w:rsidR="00B3518F">
        <w:rPr>
          <w:rStyle w:val="None"/>
          <w:rFonts w:ascii="Times New Roman" w:hAnsi="Times New Roman"/>
          <w:sz w:val="24"/>
          <w:szCs w:val="24"/>
        </w:rPr>
        <w:t>desmopressin</w:t>
      </w:r>
      <w:r>
        <w:rPr>
          <w:rStyle w:val="None"/>
          <w:rFonts w:ascii="Times New Roman" w:hAnsi="Times New Roman"/>
          <w:sz w:val="24"/>
          <w:szCs w:val="24"/>
        </w:rPr>
        <w:t>) that costs about a nickel. If the differential diagnosis did</w:t>
      </w:r>
      <w:r w:rsidR="00AF2134">
        <w:rPr>
          <w:rStyle w:val="None"/>
          <w:rFonts w:ascii="Times New Roman" w:hAnsi="Times New Roman"/>
          <w:sz w:val="24"/>
          <w:szCs w:val="24"/>
        </w:rPr>
        <w:t xml:space="preserve"> no</w:t>
      </w:r>
      <w:r>
        <w:rPr>
          <w:rStyle w:val="None"/>
          <w:rFonts w:ascii="Times New Roman" w:hAnsi="Times New Roman"/>
          <w:sz w:val="24"/>
          <w:szCs w:val="24"/>
        </w:rPr>
        <w:t>t include AvWD, uncontrolled hemorrhage might follow.</w:t>
      </w:r>
    </w:p>
    <w:p w14:paraId="0AD75278" w14:textId="77777777" w:rsidR="00185232" w:rsidRDefault="00185232" w:rsidP="00466750">
      <w:pPr>
        <w:pStyle w:val="BodyA"/>
        <w:spacing w:after="0"/>
        <w:jc w:val="both"/>
      </w:pPr>
    </w:p>
    <w:p w14:paraId="01836DAF" w14:textId="77777777" w:rsidR="00185232" w:rsidRDefault="006074F5" w:rsidP="00466750">
      <w:pPr>
        <w:pStyle w:val="BodyA"/>
        <w:spacing w:after="0"/>
        <w:jc w:val="both"/>
      </w:pPr>
      <w:r>
        <w:rPr>
          <w:rStyle w:val="None"/>
          <w:rFonts w:ascii="Times New Roman" w:hAnsi="Times New Roman"/>
          <w:sz w:val="24"/>
          <w:szCs w:val="24"/>
        </w:rPr>
        <w:t>Conversely, elevated levels of vWF raise the risk of intravascular clotting, with deep vein thrombosis and pulmonary emboli possible. Whenever, for example, a patient suffers clotting around an intravenous catheter (especially PICC lines), make sure that elevated vWF factors are not the underlying problem.</w:t>
      </w:r>
    </w:p>
    <w:p w14:paraId="2A138CDF" w14:textId="77777777" w:rsidR="00185232" w:rsidRDefault="00185232" w:rsidP="00466750">
      <w:pPr>
        <w:pStyle w:val="BodyA"/>
        <w:spacing w:after="0"/>
        <w:jc w:val="both"/>
      </w:pPr>
    </w:p>
    <w:p w14:paraId="40DB15A2" w14:textId="30713C31" w:rsidR="00185232" w:rsidRPr="002F33CB" w:rsidRDefault="006074F5" w:rsidP="00466750">
      <w:pPr>
        <w:pStyle w:val="BodyA"/>
        <w:tabs>
          <w:tab w:val="left" w:pos="4766"/>
        </w:tabs>
        <w:spacing w:after="0"/>
        <w:jc w:val="both"/>
        <w:outlineLvl w:val="0"/>
        <w:rPr>
          <w:rFonts w:ascii="Times New Roman" w:hAnsi="Times New Roman" w:cs="Times New Roman"/>
        </w:rPr>
      </w:pPr>
      <w:r w:rsidRPr="002F33CB">
        <w:rPr>
          <w:rStyle w:val="None"/>
          <w:rFonts w:ascii="Times New Roman" w:hAnsi="Times New Roman" w:cs="Times New Roman"/>
          <w:b/>
          <w:bCs/>
          <w:sz w:val="28"/>
          <w:szCs w:val="28"/>
          <w:lang w:val="fr-FR"/>
        </w:rPr>
        <w:t xml:space="preserve">Section </w:t>
      </w:r>
      <w:r w:rsidR="00957ABB" w:rsidRPr="002F33CB">
        <w:rPr>
          <w:rStyle w:val="None"/>
          <w:rFonts w:ascii="Times New Roman" w:hAnsi="Times New Roman" w:cs="Times New Roman"/>
          <w:b/>
          <w:bCs/>
          <w:sz w:val="28"/>
          <w:szCs w:val="28"/>
          <w:lang w:val="fr-FR"/>
        </w:rPr>
        <w:t xml:space="preserve">19. </w:t>
      </w:r>
      <w:r w:rsidRPr="002F33CB">
        <w:rPr>
          <w:rStyle w:val="None"/>
          <w:rFonts w:ascii="Times New Roman" w:hAnsi="Times New Roman" w:cs="Times New Roman"/>
          <w:b/>
          <w:bCs/>
          <w:sz w:val="28"/>
          <w:szCs w:val="28"/>
          <w:lang w:val="fr-FR"/>
        </w:rPr>
        <w:t xml:space="preserve">Ancillaries </w:t>
      </w:r>
      <w:r w:rsidR="00A43A95">
        <w:rPr>
          <w:rStyle w:val="None"/>
          <w:rFonts w:ascii="Times New Roman" w:hAnsi="Times New Roman" w:cs="Times New Roman"/>
          <w:b/>
          <w:bCs/>
          <w:sz w:val="28"/>
          <w:szCs w:val="28"/>
          <w:lang w:val="fr-FR"/>
        </w:rPr>
        <w:t>Neuro</w:t>
      </w:r>
      <w:r w:rsidRPr="002F33CB">
        <w:rPr>
          <w:rStyle w:val="None"/>
          <w:rFonts w:ascii="Times New Roman" w:hAnsi="Times New Roman" w:cs="Times New Roman"/>
          <w:b/>
          <w:bCs/>
          <w:sz w:val="28"/>
          <w:szCs w:val="28"/>
          <w:lang w:val="fr-FR"/>
        </w:rPr>
        <w:t>Quant</w:t>
      </w:r>
      <w:r w:rsidR="002F33CB">
        <w:rPr>
          <w:rStyle w:val="None"/>
          <w:rFonts w:ascii="Times New Roman" w:hAnsi="Times New Roman" w:cs="Times New Roman"/>
          <w:b/>
          <w:bCs/>
          <w:sz w:val="28"/>
          <w:szCs w:val="28"/>
          <w:lang w:val="fr-FR"/>
        </w:rPr>
        <w:tab/>
      </w:r>
    </w:p>
    <w:p w14:paraId="2FD9C06B" w14:textId="5C8D9772" w:rsidR="00185232" w:rsidRDefault="006074F5" w:rsidP="00466750">
      <w:pPr>
        <w:pStyle w:val="BodyA"/>
        <w:spacing w:after="0"/>
        <w:jc w:val="both"/>
      </w:pPr>
      <w:r>
        <w:rPr>
          <w:rStyle w:val="None"/>
          <w:rFonts w:ascii="Times New Roman" w:hAnsi="Times New Roman"/>
          <w:sz w:val="24"/>
          <w:szCs w:val="24"/>
        </w:rPr>
        <w:t>For most medical practices, NeuroQuant</w:t>
      </w:r>
      <w:r w:rsidR="00625BCD">
        <w:rPr>
          <w:rStyle w:val="None"/>
          <w:rFonts w:ascii="Times New Roman" w:hAnsi="Times New Roman" w:cs="Times New Roman"/>
          <w:sz w:val="24"/>
          <w:szCs w:val="24"/>
        </w:rPr>
        <w:t>®</w:t>
      </w:r>
      <w:r>
        <w:rPr>
          <w:rStyle w:val="None"/>
          <w:rFonts w:ascii="Times New Roman" w:hAnsi="Times New Roman"/>
          <w:sz w:val="24"/>
          <w:szCs w:val="24"/>
        </w:rPr>
        <w:t xml:space="preserve"> (NQ) might appear to be just be a spin-off of MRI of the brain, but for CIRS providers, NQ has made (i) identification and (ii) separation of CIRS-WDB, CIRS-PLS, traumatic brain injury, PTSD, ciguatera and multi-nuclear atrophy straightforward. When added to an MRI of the brain, NQ is found to be an illness-specific indicator. Use of sequential NQ testing has shown there is much more plasticity of an injured brain to heal than once thought (18). With low cost, rapid turnaround times and no need for contrast dyes, NQ adds powerful weight to assessment of cognitive dysfunction, including evaluation of possible risk for development of dementia.</w:t>
      </w:r>
    </w:p>
    <w:p w14:paraId="4FB7972C" w14:textId="77777777" w:rsidR="00185232" w:rsidRDefault="00185232" w:rsidP="00466750">
      <w:pPr>
        <w:pStyle w:val="BodyA"/>
        <w:spacing w:after="0"/>
        <w:jc w:val="both"/>
      </w:pPr>
    </w:p>
    <w:p w14:paraId="512F45B4" w14:textId="77777777" w:rsidR="00185232" w:rsidRDefault="006074F5" w:rsidP="00466750">
      <w:pPr>
        <w:pStyle w:val="BodyA"/>
        <w:spacing w:after="0"/>
        <w:jc w:val="both"/>
      </w:pPr>
      <w:r>
        <w:rPr>
          <w:rStyle w:val="None"/>
          <w:rFonts w:ascii="Times New Roman" w:hAnsi="Times New Roman"/>
          <w:sz w:val="24"/>
          <w:szCs w:val="24"/>
        </w:rPr>
        <w:t>As all research efforts to date in the CIRS movement, data driven studies involving institutional review board approval (IRB), good statistics and good science have carried the day. We can look at a General Morphometry Report (GMR) produced by NQ, rapidly identify microscopic interstitial edema, atrophy and patterns of brain injury accurately. Much of the unsupported ideas about PTSD being purely a psychiatric condition will need to be re-evaluated now that we have indications of a unique volumetric measure that correlates with symptoms. Now that we can use NQ to identify and correct grey matter nuclear atrophy, we hope a new era will arrive in the field of treatment of neurodegenerative illnesses.</w:t>
      </w:r>
    </w:p>
    <w:p w14:paraId="1D91F89D" w14:textId="77777777" w:rsidR="00185232" w:rsidRDefault="00185232" w:rsidP="00466750">
      <w:pPr>
        <w:pStyle w:val="BodyA"/>
        <w:spacing w:after="0"/>
        <w:jc w:val="both"/>
      </w:pPr>
    </w:p>
    <w:p w14:paraId="5CB5D075" w14:textId="1E65AC75" w:rsidR="00185232" w:rsidRDefault="006074F5" w:rsidP="00466750">
      <w:pPr>
        <w:pStyle w:val="BodyA"/>
        <w:spacing w:after="0"/>
        <w:jc w:val="both"/>
      </w:pPr>
      <w:r>
        <w:rPr>
          <w:rStyle w:val="None"/>
          <w:rFonts w:ascii="Times New Roman" w:hAnsi="Times New Roman"/>
          <w:b/>
          <w:bCs/>
          <w:sz w:val="28"/>
          <w:szCs w:val="28"/>
          <w:lang w:val="de-DE"/>
        </w:rPr>
        <w:t>Section</w:t>
      </w:r>
      <w:r w:rsidR="00957ABB">
        <w:rPr>
          <w:rStyle w:val="None"/>
          <w:rFonts w:ascii="Times New Roman" w:hAnsi="Times New Roman"/>
          <w:b/>
          <w:bCs/>
          <w:sz w:val="28"/>
          <w:szCs w:val="28"/>
          <w:lang w:val="de-DE"/>
        </w:rPr>
        <w:t xml:space="preserve"> 20.</w:t>
      </w:r>
      <w:r>
        <w:rPr>
          <w:rStyle w:val="None"/>
          <w:rFonts w:ascii="Times New Roman" w:hAnsi="Times New Roman"/>
          <w:b/>
          <w:bCs/>
          <w:sz w:val="28"/>
          <w:szCs w:val="28"/>
          <w:lang w:val="de-DE"/>
        </w:rPr>
        <w:t xml:space="preserve"> Proteomics</w:t>
      </w:r>
    </w:p>
    <w:p w14:paraId="460AFFE8" w14:textId="77777777" w:rsidR="00185232" w:rsidRDefault="006074F5" w:rsidP="00466750">
      <w:pPr>
        <w:pStyle w:val="BodyA"/>
        <w:jc w:val="both"/>
      </w:pPr>
      <w:r>
        <w:rPr>
          <w:rStyle w:val="None"/>
          <w:rFonts w:ascii="Times New Roman" w:hAnsi="Times New Roman"/>
          <w:sz w:val="24"/>
          <w:szCs w:val="24"/>
        </w:rPr>
        <w:t xml:space="preserve">Basic concepts have been published in multiple papers. We are looking at multisystem dysfunction, with genetic susceptibility; deficiency of neuroregulatory peptides; inflammatory involvement of Th1, Th 17, complement, coagulation; deficiency of T regulatory cells. The basics of the role of innate immune inflammatory pathways have been summarized in a schematic called the Biotoxin Pathway. </w:t>
      </w:r>
    </w:p>
    <w:p w14:paraId="3F7CA0BB" w14:textId="77777777" w:rsidR="00A43A95" w:rsidRDefault="00A43A95" w:rsidP="00466750">
      <w:pPr>
        <w:pStyle w:val="BodyA"/>
        <w:jc w:val="both"/>
        <w:sectPr w:rsidR="00A43A95" w:rsidSect="00A43A95">
          <w:type w:val="continuous"/>
          <w:pgSz w:w="12240" w:h="15840"/>
          <w:pgMar w:top="1260" w:right="1440" w:bottom="1440" w:left="1440" w:header="720" w:footer="576" w:gutter="0"/>
          <w:cols w:num="2" w:space="720"/>
          <w:titlePg/>
          <w:docGrid w:linePitch="326"/>
        </w:sectPr>
      </w:pPr>
    </w:p>
    <w:p w14:paraId="2F08343C" w14:textId="06E2A265" w:rsidR="00185232" w:rsidRDefault="00185232" w:rsidP="00466750">
      <w:pPr>
        <w:pStyle w:val="BodyA"/>
        <w:jc w:val="both"/>
      </w:pPr>
    </w:p>
    <w:p w14:paraId="031EE179" w14:textId="77777777" w:rsidR="00A43A95" w:rsidRDefault="00A43A95" w:rsidP="00466750">
      <w:pPr>
        <w:pStyle w:val="BodyA"/>
        <w:jc w:val="both"/>
        <w:rPr>
          <w:rStyle w:val="None"/>
          <w:rFonts w:ascii="Times New Roman" w:hAnsi="Times New Roman"/>
          <w:b/>
          <w:bCs/>
          <w:color w:val="222222"/>
          <w:sz w:val="24"/>
          <w:szCs w:val="24"/>
          <w:u w:val="single" w:color="222222"/>
        </w:rPr>
      </w:pPr>
    </w:p>
    <w:p w14:paraId="52BC7EE0" w14:textId="77777777" w:rsidR="00A43A95" w:rsidRDefault="00A43A95" w:rsidP="00466750">
      <w:pPr>
        <w:pStyle w:val="BodyA"/>
        <w:jc w:val="both"/>
        <w:rPr>
          <w:rStyle w:val="None"/>
          <w:rFonts w:ascii="Times New Roman" w:hAnsi="Times New Roman"/>
          <w:b/>
          <w:bCs/>
          <w:color w:val="222222"/>
          <w:sz w:val="24"/>
          <w:szCs w:val="24"/>
          <w:u w:val="single" w:color="222222"/>
        </w:rPr>
      </w:pPr>
    </w:p>
    <w:p w14:paraId="68C8AA2D" w14:textId="77777777" w:rsidR="00185232" w:rsidRDefault="006074F5" w:rsidP="00466750">
      <w:pPr>
        <w:pStyle w:val="BodyA"/>
        <w:jc w:val="both"/>
      </w:pPr>
      <w:r>
        <w:rPr>
          <w:rStyle w:val="None"/>
          <w:rFonts w:ascii="Times New Roman" w:hAnsi="Times New Roman"/>
          <w:b/>
          <w:bCs/>
          <w:color w:val="222222"/>
          <w:sz w:val="24"/>
          <w:szCs w:val="24"/>
          <w:u w:val="single" w:color="222222"/>
        </w:rPr>
        <w:t>Biotoxin Illness Pathway: A Description of the Progressive Stages of CIRS Pathophysiology</w:t>
      </w:r>
    </w:p>
    <w:p w14:paraId="75356C04" w14:textId="77777777" w:rsidR="00185232" w:rsidRDefault="00185232" w:rsidP="00466750">
      <w:pPr>
        <w:pStyle w:val="BodyA"/>
        <w:jc w:val="both"/>
      </w:pPr>
    </w:p>
    <w:p w14:paraId="1D7DD655" w14:textId="77777777" w:rsidR="00185232" w:rsidRDefault="006074F5" w:rsidP="00466750">
      <w:pPr>
        <w:pStyle w:val="BodyA"/>
        <w:spacing w:after="0"/>
        <w:jc w:val="both"/>
      </w:pPr>
      <w:r>
        <w:rPr>
          <w:noProof/>
        </w:rPr>
        <w:drawing>
          <wp:inline distT="0" distB="0" distL="0" distR="0" wp14:anchorId="3BC318D1" wp14:editId="469BDA40">
            <wp:extent cx="5571169" cy="4448175"/>
            <wp:effectExtent l="0" t="0" r="0" b="0"/>
            <wp:docPr id="1073741825" name="officeArt object" descr="Macintosh HD:Users:andrewheyman:Desktop:Screen Shot 2017-07-14 at 12.20.58 PM.png"/>
            <wp:cNvGraphicFramePr/>
            <a:graphic xmlns:a="http://schemas.openxmlformats.org/drawingml/2006/main">
              <a:graphicData uri="http://schemas.openxmlformats.org/drawingml/2006/picture">
                <pic:pic xmlns:pic="http://schemas.openxmlformats.org/drawingml/2006/picture">
                  <pic:nvPicPr>
                    <pic:cNvPr id="1073741825" name="Macintosh HD:Users:andrewheyman:Desktop:Screen Shot 2017-07-14 at 12.20.58 PM.png" descr="Macintosh HD:Users:andrewheyman:Desktop:Screen Shot 2017-07-14 at 12.20.58 PM.png"/>
                    <pic:cNvPicPr>
                      <a:picLocks noChangeAspect="1"/>
                    </pic:cNvPicPr>
                  </pic:nvPicPr>
                  <pic:blipFill>
                    <a:blip r:embed="rId16"/>
                    <a:stretch>
                      <a:fillRect/>
                    </a:stretch>
                  </pic:blipFill>
                  <pic:spPr>
                    <a:xfrm>
                      <a:off x="0" y="0"/>
                      <a:ext cx="5571169" cy="4448175"/>
                    </a:xfrm>
                    <a:prstGeom prst="rect">
                      <a:avLst/>
                    </a:prstGeom>
                    <a:ln w="12700" cap="flat">
                      <a:noFill/>
                      <a:miter lim="400000"/>
                    </a:ln>
                    <a:effectLst/>
                  </pic:spPr>
                </pic:pic>
              </a:graphicData>
            </a:graphic>
          </wp:inline>
        </w:drawing>
      </w:r>
    </w:p>
    <w:p w14:paraId="7F943E89" w14:textId="77777777" w:rsidR="00185232" w:rsidRDefault="00185232" w:rsidP="00466750">
      <w:pPr>
        <w:pStyle w:val="BodyA"/>
        <w:jc w:val="both"/>
      </w:pPr>
    </w:p>
    <w:p w14:paraId="52648324" w14:textId="77777777" w:rsidR="00A43A95" w:rsidRDefault="00A43A95" w:rsidP="00466750">
      <w:pPr>
        <w:pStyle w:val="BodyA"/>
        <w:jc w:val="both"/>
        <w:rPr>
          <w:rStyle w:val="None"/>
          <w:rFonts w:ascii="Times New Roman" w:hAnsi="Times New Roman"/>
          <w:b/>
          <w:bCs/>
          <w:color w:val="222222"/>
          <w:sz w:val="24"/>
          <w:szCs w:val="24"/>
          <w:u w:color="222222"/>
        </w:rPr>
        <w:sectPr w:rsidR="00A43A95" w:rsidSect="0036523A">
          <w:type w:val="continuous"/>
          <w:pgSz w:w="12240" w:h="15840"/>
          <w:pgMar w:top="1260" w:right="1440" w:bottom="1440" w:left="1440" w:header="720" w:footer="576" w:gutter="0"/>
          <w:cols w:space="720"/>
          <w:titlePg/>
          <w:docGrid w:linePitch="326"/>
        </w:sectPr>
      </w:pPr>
    </w:p>
    <w:p w14:paraId="4FB479DB" w14:textId="02069A92" w:rsidR="00185232" w:rsidRDefault="006074F5" w:rsidP="00466750">
      <w:pPr>
        <w:pStyle w:val="BodyA"/>
        <w:jc w:val="both"/>
      </w:pPr>
      <w:r>
        <w:rPr>
          <w:rStyle w:val="None"/>
          <w:rFonts w:ascii="Times New Roman" w:hAnsi="Times New Roman"/>
          <w:b/>
          <w:bCs/>
          <w:color w:val="222222"/>
          <w:sz w:val="24"/>
          <w:szCs w:val="24"/>
          <w:u w:color="222222"/>
        </w:rPr>
        <w:t>Stage 1: Biotoxin Effects</w:t>
      </w:r>
    </w:p>
    <w:p w14:paraId="59B3A6FD" w14:textId="77777777" w:rsidR="00185232" w:rsidRDefault="006074F5" w:rsidP="00466750">
      <w:pPr>
        <w:pStyle w:val="BodyA"/>
        <w:jc w:val="both"/>
      </w:pPr>
      <w:r>
        <w:rPr>
          <w:rStyle w:val="None"/>
          <w:rFonts w:ascii="Times New Roman" w:hAnsi="Times New Roman"/>
          <w:color w:val="222222"/>
          <w:sz w:val="24"/>
          <w:szCs w:val="24"/>
          <w:u w:color="222222"/>
        </w:rPr>
        <w:t xml:space="preserve">Within normal hosts, exposure to biotoxin will result in an innate immune response via the production and release of innate inflammatory </w:t>
      </w:r>
      <w:r>
        <w:rPr>
          <w:rStyle w:val="None"/>
          <w:rFonts w:ascii="Times New Roman" w:hAnsi="Times New Roman"/>
          <w:sz w:val="24"/>
          <w:szCs w:val="24"/>
        </w:rPr>
        <w:t xml:space="preserve">markers (1). This will in turn signal an adaptive immune response with resultant specific antibody formation to the offending agent (2). </w:t>
      </w:r>
      <w:r>
        <w:rPr>
          <w:rStyle w:val="None"/>
          <w:rFonts w:ascii="Times New Roman" w:hAnsi="Times New Roman"/>
          <w:color w:val="222222"/>
          <w:sz w:val="24"/>
          <w:szCs w:val="24"/>
          <w:u w:color="222222"/>
        </w:rPr>
        <w:t xml:space="preserve">The antibody tags the biotoxin, signaling it for destruction and subsequent removal from the body (3). With activation of the adaptive immune system, inhibitory signals are released to downregulate the innate immune response, preventing chronic innate immune activation (4). </w:t>
      </w:r>
    </w:p>
    <w:p w14:paraId="5C1A2F58" w14:textId="16875BA0" w:rsidR="00185232" w:rsidRDefault="006074F5" w:rsidP="00466750">
      <w:pPr>
        <w:pStyle w:val="BodyA"/>
        <w:jc w:val="both"/>
      </w:pPr>
      <w:r>
        <w:rPr>
          <w:rStyle w:val="None"/>
          <w:rFonts w:ascii="Times New Roman" w:hAnsi="Times New Roman"/>
          <w:color w:val="222222"/>
          <w:sz w:val="24"/>
          <w:szCs w:val="24"/>
          <w:u w:color="222222"/>
        </w:rPr>
        <w:t xml:space="preserve">In contrast, hosts predisposed to chronic inflammatory response syndrome (CIRS) exhibit disruptions in their adaptive and innate immune mechanisms when exposed to biotoxins (5), precluding the removal of the offending agents. The resultant, persistent biotoxicity creates an upregulation of the innate immune system (6, 7), which if left unchecked will manifest as CIRS (8).  </w:t>
      </w:r>
      <w:r w:rsidR="00B415F4">
        <w:rPr>
          <w:rStyle w:val="None"/>
          <w:rFonts w:ascii="Times New Roman" w:hAnsi="Times New Roman"/>
          <w:color w:val="222222"/>
          <w:sz w:val="24"/>
          <w:szCs w:val="24"/>
          <w:u w:color="222222"/>
        </w:rPr>
        <w:t>Specific</w:t>
      </w:r>
      <w:r>
        <w:rPr>
          <w:rStyle w:val="None"/>
          <w:rFonts w:ascii="Times New Roman" w:hAnsi="Times New Roman"/>
          <w:color w:val="222222"/>
          <w:sz w:val="24"/>
          <w:szCs w:val="24"/>
          <w:u w:color="222222"/>
        </w:rPr>
        <w:t xml:space="preserve"> HLA immune response genes (HLA-DR genes) have been linked to an increased risk for CIRS (9, 10). The biotoxins bind to certain cell surface receptors such as Toll (11), mannose (12),</w:t>
      </w:r>
      <w:r>
        <w:rPr>
          <w:rStyle w:val="None"/>
          <w:rFonts w:ascii="Times New Roman" w:hAnsi="Times New Roman"/>
          <w:sz w:val="24"/>
          <w:szCs w:val="24"/>
        </w:rPr>
        <w:t xml:space="preserve"> </w:t>
      </w:r>
      <w:r>
        <w:rPr>
          <w:rStyle w:val="None"/>
          <w:rFonts w:ascii="Times New Roman" w:hAnsi="Times New Roman"/>
          <w:color w:val="222222"/>
          <w:sz w:val="24"/>
          <w:szCs w:val="24"/>
          <w:u w:color="222222"/>
        </w:rPr>
        <w:t xml:space="preserve">and L-type lectin (13). Recognition and binding of the biotoxin at these receptors leads to specific upregulation of inflammatory pathways, resulting in an abnormal rise in inflammatory markers such as cytokines (12), </w:t>
      </w:r>
      <w:r w:rsidR="00DA5D11" w:rsidRPr="00E55ECD">
        <w:rPr>
          <w:rStyle w:val="None"/>
          <w:rFonts w:ascii="Times New Roman" w:hAnsi="Times New Roman" w:cs="Times New Roman"/>
          <w:sz w:val="24"/>
          <w:szCs w:val="24"/>
        </w:rPr>
        <w:t>TGF-beta1</w:t>
      </w:r>
      <w:r>
        <w:rPr>
          <w:rStyle w:val="None"/>
          <w:rFonts w:ascii="Times New Roman" w:hAnsi="Times New Roman"/>
          <w:color w:val="222222"/>
          <w:sz w:val="24"/>
          <w:szCs w:val="24"/>
          <w:u w:color="222222"/>
        </w:rPr>
        <w:t>, and split products of complement (14).</w:t>
      </w:r>
      <w:r>
        <w:rPr>
          <w:rStyle w:val="None"/>
          <w:rFonts w:ascii="Times New Roman" w:hAnsi="Times New Roman"/>
          <w:sz w:val="24"/>
          <w:szCs w:val="24"/>
        </w:rPr>
        <w:t xml:space="preserve"> </w:t>
      </w:r>
    </w:p>
    <w:p w14:paraId="73973156" w14:textId="537731BB" w:rsidR="00185232" w:rsidRDefault="006074F5" w:rsidP="00466750">
      <w:pPr>
        <w:pStyle w:val="BodyA"/>
        <w:jc w:val="both"/>
      </w:pPr>
      <w:r>
        <w:rPr>
          <w:rStyle w:val="None"/>
          <w:rFonts w:ascii="Times New Roman" w:hAnsi="Times New Roman"/>
          <w:color w:val="222222"/>
          <w:sz w:val="24"/>
          <w:szCs w:val="24"/>
          <w:u w:color="222222"/>
        </w:rPr>
        <w:t xml:space="preserve">In addition to triggering systemic inflammation, biotoxins can also have a direct neurotoxic effect (9). In </w:t>
      </w:r>
      <w:r w:rsidR="00B415F4">
        <w:rPr>
          <w:rStyle w:val="None"/>
          <w:rFonts w:ascii="Times New Roman" w:hAnsi="Times New Roman"/>
          <w:color w:val="222222"/>
          <w:sz w:val="24"/>
          <w:szCs w:val="24"/>
          <w:u w:color="222222"/>
        </w:rPr>
        <w:t>most</w:t>
      </w:r>
      <w:r>
        <w:rPr>
          <w:rStyle w:val="None"/>
          <w:rFonts w:ascii="Times New Roman" w:hAnsi="Times New Roman"/>
          <w:color w:val="222222"/>
          <w:sz w:val="24"/>
          <w:szCs w:val="24"/>
          <w:u w:color="222222"/>
        </w:rPr>
        <w:t xml:space="preserve"> patients, visual contrast sensitivity (VCS) testing </w:t>
      </w:r>
      <w:r w:rsidR="00584307">
        <w:rPr>
          <w:rStyle w:val="None"/>
          <w:rFonts w:ascii="Times New Roman" w:hAnsi="Times New Roman"/>
          <w:color w:val="222222"/>
          <w:sz w:val="24"/>
          <w:szCs w:val="24"/>
          <w:u w:color="222222"/>
        </w:rPr>
        <w:t>can</w:t>
      </w:r>
      <w:r>
        <w:rPr>
          <w:rStyle w:val="None"/>
          <w:rFonts w:ascii="Times New Roman" w:hAnsi="Times New Roman"/>
          <w:color w:val="222222"/>
          <w:sz w:val="24"/>
          <w:szCs w:val="24"/>
          <w:u w:color="222222"/>
        </w:rPr>
        <w:t xml:space="preserve"> detect deficits caused by biotoxicity affecting the neurologic function in the visual system (15). </w:t>
      </w:r>
      <w:r>
        <w:rPr>
          <w:rStyle w:val="None"/>
          <w:rFonts w:ascii="Times New Roman" w:hAnsi="Times New Roman"/>
          <w:color w:val="0563C1"/>
          <w:sz w:val="24"/>
          <w:szCs w:val="24"/>
          <w:u w:color="0563C1"/>
        </w:rPr>
        <w:t xml:space="preserve"> </w:t>
      </w:r>
    </w:p>
    <w:p w14:paraId="0A4C9F70" w14:textId="77777777" w:rsidR="00185232" w:rsidRDefault="00185232" w:rsidP="00466750">
      <w:pPr>
        <w:pStyle w:val="BodyA"/>
        <w:jc w:val="both"/>
      </w:pPr>
    </w:p>
    <w:p w14:paraId="388D5472" w14:textId="23A1DE85" w:rsidR="00185232" w:rsidRDefault="006074F5" w:rsidP="00466750">
      <w:pPr>
        <w:pStyle w:val="BodyA"/>
        <w:jc w:val="both"/>
      </w:pPr>
      <w:r>
        <w:rPr>
          <w:rStyle w:val="None"/>
          <w:rFonts w:ascii="Times New Roman" w:hAnsi="Times New Roman"/>
          <w:b/>
          <w:bCs/>
          <w:color w:val="222222"/>
          <w:sz w:val="24"/>
          <w:szCs w:val="24"/>
          <w:u w:color="222222"/>
        </w:rPr>
        <w:t>Stage 2: Cytokine Effects</w:t>
      </w:r>
      <w:r>
        <w:rPr>
          <w:rStyle w:val="None"/>
          <w:rFonts w:ascii="Times New Roman" w:hAnsi="Times New Roman"/>
          <w:b/>
          <w:bCs/>
          <w:sz w:val="24"/>
          <w:szCs w:val="24"/>
        </w:rPr>
        <w:t> (MMP</w:t>
      </w:r>
      <w:r w:rsidR="00756590">
        <w:rPr>
          <w:rStyle w:val="None"/>
          <w:rFonts w:ascii="Times New Roman" w:hAnsi="Times New Roman"/>
          <w:b/>
          <w:bCs/>
          <w:sz w:val="24"/>
          <w:szCs w:val="24"/>
        </w:rPr>
        <w:t>-</w:t>
      </w:r>
      <w:r>
        <w:rPr>
          <w:rStyle w:val="None"/>
          <w:rFonts w:ascii="Times New Roman" w:hAnsi="Times New Roman"/>
          <w:b/>
          <w:bCs/>
          <w:sz w:val="24"/>
          <w:szCs w:val="24"/>
        </w:rPr>
        <w:t>9, Leptin, MSH, Coagulopathies, Hypoperfusion)</w:t>
      </w:r>
    </w:p>
    <w:p w14:paraId="20ED5B34" w14:textId="1389A31C" w:rsidR="00185232" w:rsidRDefault="006074F5" w:rsidP="00466750">
      <w:pPr>
        <w:pStyle w:val="BodyA"/>
        <w:jc w:val="both"/>
      </w:pPr>
      <w:r>
        <w:rPr>
          <w:rStyle w:val="None"/>
          <w:rFonts w:ascii="Times New Roman" w:hAnsi="Times New Roman"/>
          <w:color w:val="222222"/>
          <w:sz w:val="24"/>
          <w:szCs w:val="24"/>
          <w:u w:color="222222"/>
        </w:rPr>
        <w:t xml:space="preserve">The upregulation of the innate immune system results in increased cytokine levels, which in turn bind to receptors on certain white blood cells (16), </w:t>
      </w:r>
      <w:r>
        <w:rPr>
          <w:rStyle w:val="None"/>
          <w:rFonts w:ascii="Times New Roman" w:hAnsi="Times New Roman"/>
          <w:sz w:val="24"/>
          <w:szCs w:val="24"/>
        </w:rPr>
        <w:t>signaling the release of MMP</w:t>
      </w:r>
      <w:r w:rsidR="00DA5D11">
        <w:rPr>
          <w:rStyle w:val="None"/>
          <w:rFonts w:ascii="Times New Roman" w:hAnsi="Times New Roman"/>
          <w:sz w:val="24"/>
          <w:szCs w:val="24"/>
        </w:rPr>
        <w:t>-</w:t>
      </w:r>
      <w:r>
        <w:rPr>
          <w:rStyle w:val="None"/>
          <w:rFonts w:ascii="Times New Roman" w:hAnsi="Times New Roman"/>
          <w:sz w:val="24"/>
          <w:szCs w:val="24"/>
        </w:rPr>
        <w:t>9 into the bloodstream (17). MMP</w:t>
      </w:r>
      <w:r w:rsidR="00756590">
        <w:rPr>
          <w:rStyle w:val="None"/>
          <w:rFonts w:ascii="Times New Roman" w:hAnsi="Times New Roman"/>
          <w:sz w:val="24"/>
          <w:szCs w:val="24"/>
        </w:rPr>
        <w:t>-</w:t>
      </w:r>
      <w:r>
        <w:rPr>
          <w:rStyle w:val="None"/>
          <w:rFonts w:ascii="Times New Roman" w:hAnsi="Times New Roman"/>
          <w:sz w:val="24"/>
          <w:szCs w:val="24"/>
        </w:rPr>
        <w:t xml:space="preserve">9 enzymatically degrades the proteins found in the protective extracellular matrix of blood vessel walls, allowing other inflammatory markers originating in the bloodstream to </w:t>
      </w:r>
      <w:r w:rsidR="00B415F4">
        <w:rPr>
          <w:rStyle w:val="None"/>
          <w:rFonts w:ascii="Times New Roman" w:hAnsi="Times New Roman"/>
          <w:sz w:val="24"/>
          <w:szCs w:val="24"/>
        </w:rPr>
        <w:t>penetrate</w:t>
      </w:r>
      <w:r>
        <w:rPr>
          <w:rStyle w:val="None"/>
          <w:rFonts w:ascii="Times New Roman" w:hAnsi="Times New Roman"/>
          <w:sz w:val="24"/>
          <w:szCs w:val="24"/>
        </w:rPr>
        <w:t xml:space="preserve"> sensitive tissues such as the brain (18). Elevated MMP</w:t>
      </w:r>
      <w:r w:rsidR="00DA5D11">
        <w:rPr>
          <w:rStyle w:val="None"/>
          <w:rFonts w:ascii="Times New Roman" w:hAnsi="Times New Roman"/>
          <w:sz w:val="24"/>
          <w:szCs w:val="24"/>
        </w:rPr>
        <w:t>-</w:t>
      </w:r>
      <w:r>
        <w:rPr>
          <w:rStyle w:val="None"/>
          <w:rFonts w:ascii="Times New Roman" w:hAnsi="Times New Roman"/>
          <w:sz w:val="24"/>
          <w:szCs w:val="24"/>
        </w:rPr>
        <w:t>9 has been linked to increased risk of atherosclerotic plaque formation, progression, and rupture (19). Additionally, high MMP</w:t>
      </w:r>
      <w:r w:rsidR="00DA5D11">
        <w:rPr>
          <w:rStyle w:val="None"/>
          <w:rFonts w:ascii="Times New Roman" w:hAnsi="Times New Roman"/>
          <w:sz w:val="24"/>
          <w:szCs w:val="24"/>
        </w:rPr>
        <w:t>-</w:t>
      </w:r>
      <w:r>
        <w:rPr>
          <w:rStyle w:val="None"/>
          <w:rFonts w:ascii="Times New Roman" w:hAnsi="Times New Roman"/>
          <w:sz w:val="24"/>
          <w:szCs w:val="24"/>
        </w:rPr>
        <w:t xml:space="preserve">9 adversely affects joints (20), muscles (21), and nerves (22). </w:t>
      </w:r>
    </w:p>
    <w:p w14:paraId="4CD09FCC" w14:textId="77777777" w:rsidR="00185232" w:rsidRDefault="006074F5" w:rsidP="00466750">
      <w:pPr>
        <w:pStyle w:val="BodyA"/>
        <w:jc w:val="both"/>
      </w:pPr>
      <w:r>
        <w:rPr>
          <w:rStyle w:val="None"/>
          <w:rFonts w:ascii="Times New Roman" w:hAnsi="Times New Roman"/>
          <w:sz w:val="24"/>
          <w:szCs w:val="24"/>
        </w:rPr>
        <w:t>Leptin also plays a key role in the biotoxin illness pathway. Leptin is primarily produced in adipocytes; acting as both a hormone and cytokine, it links the neuroendocrine and immune systems (23). Leptin’s cytokine action is exerted upon macrophages resulting in synthesis of additional pro-inflammatory cytokines (23), such as </w:t>
      </w:r>
      <w:r>
        <w:rPr>
          <w:rStyle w:val="None"/>
          <w:rFonts w:ascii="Times New Roman" w:hAnsi="Times New Roman"/>
          <w:sz w:val="24"/>
          <w:szCs w:val="24"/>
          <w:shd w:val="clear" w:color="auto" w:fill="FFFFFF"/>
        </w:rPr>
        <w:t>TNFα, IL-1 and IL-6 (24). These cytokines can in turn stimulate further production of leptin from adipocytes, creating a positive feedback loop that perpetuates the innate inflammation (24). </w:t>
      </w:r>
      <w:bookmarkStart w:id="1" w:name="_Hlk507858298"/>
      <w:r>
        <w:rPr>
          <w:rStyle w:val="None"/>
          <w:rFonts w:ascii="Times New Roman" w:hAnsi="Times New Roman"/>
          <w:sz w:val="24"/>
          <w:szCs w:val="24"/>
        </w:rPr>
        <w:t xml:space="preserve"> </w:t>
      </w:r>
      <w:bookmarkEnd w:id="1"/>
    </w:p>
    <w:p w14:paraId="7A8F4101" w14:textId="03DA130B" w:rsidR="00185232" w:rsidRDefault="006074F5" w:rsidP="00466750">
      <w:pPr>
        <w:pStyle w:val="BodyA"/>
        <w:jc w:val="both"/>
      </w:pPr>
      <w:r>
        <w:rPr>
          <w:rStyle w:val="None"/>
          <w:rFonts w:ascii="Times New Roman" w:hAnsi="Times New Roman"/>
          <w:color w:val="222222"/>
          <w:sz w:val="24"/>
          <w:szCs w:val="24"/>
          <w:u w:color="222222"/>
        </w:rPr>
        <w:t>As opposed to leptin’s driving force on the innate immune system during CIRS, leptin’s normal physiologic hypothalamic influence is numbed due to competing </w:t>
      </w:r>
      <w:bookmarkStart w:id="2" w:name="_Hlk507024764"/>
      <w:r>
        <w:rPr>
          <w:rStyle w:val="None"/>
          <w:rFonts w:ascii="Times New Roman" w:hAnsi="Times New Roman"/>
          <w:color w:val="222222"/>
          <w:sz w:val="24"/>
          <w:szCs w:val="24"/>
          <w:u w:color="222222"/>
        </w:rPr>
        <w:t>cytokines that block the leptin hypothalamic receptor (23).</w:t>
      </w:r>
      <w:bookmarkEnd w:id="2"/>
      <w:r>
        <w:rPr>
          <w:rStyle w:val="None"/>
          <w:rFonts w:ascii="Times New Roman" w:hAnsi="Times New Roman"/>
          <w:sz w:val="24"/>
          <w:szCs w:val="24"/>
        </w:rPr>
        <w:t xml:space="preserve"> </w:t>
      </w:r>
      <w:r w:rsidR="00B415F4">
        <w:rPr>
          <w:rStyle w:val="None"/>
          <w:rFonts w:ascii="Times New Roman" w:hAnsi="Times New Roman"/>
          <w:color w:val="222222"/>
          <w:sz w:val="24"/>
          <w:szCs w:val="24"/>
          <w:u w:color="222222"/>
        </w:rPr>
        <w:t>Certain</w:t>
      </w:r>
      <w:r>
        <w:rPr>
          <w:rStyle w:val="None"/>
          <w:rFonts w:ascii="Times New Roman" w:hAnsi="Times New Roman"/>
          <w:color w:val="222222"/>
          <w:sz w:val="24"/>
          <w:szCs w:val="24"/>
          <w:u w:color="222222"/>
        </w:rPr>
        <w:t xml:space="preserve"> cytokines such as </w:t>
      </w:r>
      <w:r>
        <w:rPr>
          <w:rStyle w:val="None"/>
          <w:rFonts w:ascii="Times New Roman" w:hAnsi="Times New Roman"/>
          <w:sz w:val="24"/>
          <w:szCs w:val="24"/>
          <w:shd w:val="clear" w:color="auto" w:fill="FFFFFF"/>
        </w:rPr>
        <w:t>interleukin (IL)-6, IL-11, IL-12, and oncostatin M</w:t>
      </w:r>
      <w:r>
        <w:rPr>
          <w:rStyle w:val="None"/>
          <w:rFonts w:ascii="Times New Roman" w:hAnsi="Times New Roman"/>
          <w:color w:val="222222"/>
          <w:sz w:val="24"/>
          <w:szCs w:val="24"/>
          <w:u w:color="222222"/>
        </w:rPr>
        <w:t xml:space="preserve"> are capable of such a feat due to their structural similarity to leptin (24).  The leptin receptor blockage creates leptin resistance (25), which in turn causes upregulation of leptin production (23). </w:t>
      </w:r>
      <w:r>
        <w:rPr>
          <w:rStyle w:val="None"/>
          <w:rFonts w:ascii="Times New Roman" w:hAnsi="Times New Roman"/>
          <w:color w:val="0563C1"/>
          <w:sz w:val="24"/>
          <w:szCs w:val="24"/>
          <w:u w:color="0563C1"/>
        </w:rPr>
        <w:t xml:space="preserve"> </w:t>
      </w:r>
      <w:r>
        <w:rPr>
          <w:rStyle w:val="None"/>
          <w:rFonts w:ascii="Times New Roman" w:hAnsi="Times New Roman"/>
          <w:color w:val="222222"/>
          <w:sz w:val="24"/>
          <w:szCs w:val="24"/>
          <w:u w:color="222222"/>
        </w:rPr>
        <w:t xml:space="preserve"> In normal physiology, leptin binds receptors located within the arcuate nucleus of the hypothalamus (26). This signals for enzymatic cleavage of the preformed prohormone </w:t>
      </w:r>
      <w:r>
        <w:rPr>
          <w:rStyle w:val="None"/>
          <w:rFonts w:ascii="Times New Roman" w:hAnsi="Times New Roman"/>
          <w:sz w:val="24"/>
          <w:szCs w:val="24"/>
          <w:shd w:val="clear" w:color="auto" w:fill="FFFFFF"/>
          <w:lang w:val="pt-PT"/>
        </w:rPr>
        <w:t>proopiomelanocortin</w:t>
      </w:r>
      <w:r>
        <w:rPr>
          <w:rStyle w:val="None"/>
          <w:rFonts w:ascii="Times New Roman" w:hAnsi="Times New Roman"/>
          <w:color w:val="222222"/>
          <w:sz w:val="24"/>
          <w:szCs w:val="24"/>
          <w:u w:color="222222"/>
        </w:rPr>
        <w:t> (POMC) into the following hormones: alpha melanocyte stimulating hormone (MSH), </w:t>
      </w:r>
      <w:r>
        <w:rPr>
          <w:rStyle w:val="None"/>
          <w:rFonts w:ascii="Times New Roman" w:hAnsi="Times New Roman"/>
          <w:sz w:val="24"/>
          <w:szCs w:val="24"/>
          <w:shd w:val="clear" w:color="auto" w:fill="FFFFFF"/>
          <w:lang w:val="it-IT"/>
        </w:rPr>
        <w:t>adrenocorticotropic hormone</w:t>
      </w:r>
      <w:r>
        <w:rPr>
          <w:rStyle w:val="None"/>
          <w:rFonts w:ascii="Times New Roman" w:hAnsi="Times New Roman"/>
          <w:color w:val="222222"/>
          <w:sz w:val="24"/>
          <w:szCs w:val="24"/>
          <w:u w:color="222222"/>
        </w:rPr>
        <w:t xml:space="preserve"> (ACTH), and endorphins (26). Inevitably, the leptin receptor blockade in CIRS leads to loss of hormonal regulatory control due to disruption of the POMC pathway with decreased levels of the hypothalamic hormones (23). </w:t>
      </w:r>
      <w:hyperlink w:anchor="bookmark" w:history="1">
        <w:r>
          <w:rPr>
            <w:rStyle w:val="Hyperlink2"/>
            <w:rFonts w:eastAsia="Calibri"/>
          </w:rPr>
          <w:t>  </w:t>
        </w:r>
      </w:hyperlink>
      <w:r>
        <w:rPr>
          <w:rStyle w:val="None"/>
          <w:rFonts w:ascii="Times New Roman" w:hAnsi="Times New Roman"/>
          <w:color w:val="222222"/>
          <w:sz w:val="24"/>
          <w:szCs w:val="24"/>
          <w:u w:color="222222"/>
        </w:rPr>
        <w:t xml:space="preserve">Leptin resistance also leads to a decreased ability to mobilize fat stores for energy, resulting in recalcitrant weight gain in some patients (27) that does not respond to typical measures of diet and exercise (28). </w:t>
      </w:r>
    </w:p>
    <w:p w14:paraId="64BDB2C8" w14:textId="77777777" w:rsidR="00185232" w:rsidRDefault="006074F5" w:rsidP="00466750">
      <w:pPr>
        <w:pStyle w:val="BodyA"/>
        <w:jc w:val="both"/>
      </w:pPr>
      <w:r>
        <w:rPr>
          <w:rStyle w:val="None"/>
          <w:rFonts w:ascii="Times New Roman" w:hAnsi="Times New Roman"/>
          <w:color w:val="222222"/>
          <w:sz w:val="24"/>
          <w:szCs w:val="24"/>
          <w:u w:color="222222"/>
        </w:rPr>
        <w:t xml:space="preserve">MSH is a crucial neuroregulatory peptide hormone with anti-inflammatory actions achieved through numerous signaling pathways (23). </w:t>
      </w:r>
      <w:bookmarkStart w:id="3" w:name="_Hlk507025469"/>
      <w:r>
        <w:rPr>
          <w:rStyle w:val="None"/>
          <w:rFonts w:ascii="Times New Roman" w:hAnsi="Times New Roman"/>
          <w:color w:val="222222"/>
          <w:sz w:val="24"/>
          <w:szCs w:val="24"/>
          <w:u w:color="222222"/>
        </w:rPr>
        <w:t>By inducing cyclic adenosine monophosphate (cAMP) and inhibiting nuclear factor κβ (NF-κβ) (29), MSH is capable of downregulating expression of pro-inflammatory cytokines such as </w:t>
      </w:r>
      <w:r>
        <w:rPr>
          <w:rStyle w:val="None"/>
          <w:rFonts w:ascii="Times New Roman" w:hAnsi="Times New Roman"/>
          <w:color w:val="222222"/>
          <w:sz w:val="24"/>
          <w:szCs w:val="24"/>
          <w:u w:color="222222"/>
          <w:shd w:val="clear" w:color="auto" w:fill="FFFFFF"/>
        </w:rPr>
        <w:t>TNFα, IL-1 beta, IL</w:t>
      </w:r>
      <w:r w:rsidR="009751B6">
        <w:rPr>
          <w:rStyle w:val="None"/>
          <w:rFonts w:ascii="Times New Roman" w:hAnsi="Times New Roman"/>
          <w:color w:val="222222"/>
          <w:sz w:val="24"/>
          <w:szCs w:val="24"/>
          <w:u w:color="222222"/>
          <w:shd w:val="clear" w:color="auto" w:fill="FFFFFF"/>
        </w:rPr>
        <w:t>-</w:t>
      </w:r>
      <w:r>
        <w:rPr>
          <w:rStyle w:val="None"/>
          <w:rFonts w:ascii="Times New Roman" w:hAnsi="Times New Roman"/>
          <w:color w:val="222222"/>
          <w:sz w:val="24"/>
          <w:szCs w:val="24"/>
          <w:u w:color="222222"/>
          <w:shd w:val="clear" w:color="auto" w:fill="FFFFFF"/>
        </w:rPr>
        <w:t>6 (which are all typically upregulated by leptin) and interferon gamma (23).</w:t>
      </w:r>
      <w:r>
        <w:rPr>
          <w:rStyle w:val="None"/>
          <w:rFonts w:ascii="Times New Roman" w:hAnsi="Times New Roman"/>
          <w:sz w:val="24"/>
          <w:szCs w:val="24"/>
        </w:rPr>
        <w:t xml:space="preserve"> </w:t>
      </w:r>
      <w:r>
        <w:rPr>
          <w:rStyle w:val="None"/>
          <w:rFonts w:ascii="Times New Roman" w:hAnsi="Times New Roman"/>
          <w:color w:val="222222"/>
          <w:sz w:val="24"/>
          <w:szCs w:val="24"/>
          <w:u w:color="222222"/>
        </w:rPr>
        <w:t xml:space="preserve"> Through these means, MSH regulates both peripheral cytokine responses and intracerebral inflammation (23, 29). </w:t>
      </w:r>
      <w:bookmarkEnd w:id="3"/>
      <w:r>
        <w:rPr>
          <w:rStyle w:val="None"/>
          <w:rFonts w:ascii="Times New Roman" w:hAnsi="Times New Roman"/>
          <w:color w:val="222222"/>
          <w:sz w:val="24"/>
          <w:szCs w:val="24"/>
          <w:u w:color="222222"/>
        </w:rPr>
        <w:t>MSH deficiency leads to unchecked cytokine effects, manifesting as numerous symptoms such as muscle aches, temperature instability, headaches, and decreased ability to concentrate.</w:t>
      </w:r>
    </w:p>
    <w:p w14:paraId="5C808064" w14:textId="77777777" w:rsidR="00185232" w:rsidRDefault="006074F5" w:rsidP="00466750">
      <w:pPr>
        <w:pStyle w:val="BodyA"/>
        <w:jc w:val="both"/>
      </w:pPr>
      <w:r>
        <w:rPr>
          <w:rStyle w:val="None"/>
          <w:rFonts w:ascii="Times New Roman" w:hAnsi="Times New Roman"/>
          <w:color w:val="222222"/>
          <w:sz w:val="24"/>
          <w:szCs w:val="24"/>
          <w:u w:color="222222"/>
        </w:rPr>
        <w:t xml:space="preserve">Additionally, cytokines can cause elevated levels of plasminogen activator inhibitor-1 (PA1) (5), along with abnormal levels of von Willebrand’s factor (VWF) and Factor VIII (30) leading to coagulopathies in some CIRS patients (31). </w:t>
      </w:r>
    </w:p>
    <w:p w14:paraId="48CA5F15" w14:textId="77777777" w:rsidR="00185232" w:rsidRDefault="006074F5" w:rsidP="00466750">
      <w:pPr>
        <w:pStyle w:val="BodyA"/>
        <w:jc w:val="both"/>
      </w:pPr>
      <w:r>
        <w:rPr>
          <w:rStyle w:val="None"/>
          <w:rFonts w:ascii="Times New Roman" w:hAnsi="Times New Roman"/>
          <w:color w:val="222222"/>
          <w:sz w:val="24"/>
          <w:szCs w:val="24"/>
          <w:u w:color="222222"/>
        </w:rPr>
        <w:t xml:space="preserve">Capillary hypoperfusion can occur due to cytokine effects, including those produced by TNFα (23, 32). It has been suggested that this decrease of microvascular perfusion could be from either vasoconstriction due to direct cytokine effects or recruitment of leukocytes causing obstruction of vessels (33). </w:t>
      </w:r>
      <w:hyperlink w:anchor="bookmark1" w:history="1">
        <w:r>
          <w:rPr>
            <w:rStyle w:val="Hyperlink3"/>
            <w:rFonts w:eastAsia="Calibri"/>
          </w:rPr>
          <w:t> </w:t>
        </w:r>
      </w:hyperlink>
      <w:r>
        <w:rPr>
          <w:rStyle w:val="None"/>
          <w:rFonts w:ascii="Times New Roman" w:hAnsi="Times New Roman"/>
          <w:color w:val="222222"/>
          <w:sz w:val="24"/>
          <w:szCs w:val="24"/>
          <w:u w:color="222222"/>
          <w:shd w:val="clear" w:color="auto" w:fill="FFFFFF"/>
        </w:rPr>
        <w:t>The latter is based on a phenomenon occurring at times of inflammation: leukocytes are marginalized to the endothelial cell (EC) wall of a venule; a weak adhesion occurs between the leukocyte and the EC wall via a tethering and rolling process; the adhesion is strengthened through leukocyte activation resulting in a stationary attachment (34).</w:t>
      </w:r>
    </w:p>
    <w:p w14:paraId="16AE91E8" w14:textId="77777777" w:rsidR="00185232" w:rsidRDefault="00185232" w:rsidP="00466750">
      <w:pPr>
        <w:pStyle w:val="BodyA"/>
        <w:jc w:val="both"/>
      </w:pPr>
    </w:p>
    <w:p w14:paraId="42202CA0" w14:textId="3391EBED" w:rsidR="00185232" w:rsidRDefault="006074F5" w:rsidP="00466750">
      <w:pPr>
        <w:pStyle w:val="BodyA"/>
        <w:jc w:val="both"/>
      </w:pPr>
      <w:r>
        <w:rPr>
          <w:rStyle w:val="None"/>
          <w:rFonts w:ascii="Times New Roman" w:hAnsi="Times New Roman"/>
          <w:b/>
          <w:bCs/>
          <w:color w:val="222222"/>
          <w:sz w:val="24"/>
          <w:szCs w:val="24"/>
          <w:u w:color="222222"/>
        </w:rPr>
        <w:t xml:space="preserve">Stage 3: Reduced VEGF &amp; Elevated </w:t>
      </w:r>
      <w:r w:rsidR="00DA5D11" w:rsidRPr="00E55ECD">
        <w:rPr>
          <w:rStyle w:val="None"/>
          <w:rFonts w:ascii="Times New Roman" w:hAnsi="Times New Roman" w:cs="Times New Roman"/>
          <w:sz w:val="24"/>
          <w:szCs w:val="24"/>
        </w:rPr>
        <w:t>TGF-beta</w:t>
      </w:r>
    </w:p>
    <w:p w14:paraId="675CCA91" w14:textId="583B892F" w:rsidR="00185232" w:rsidRDefault="006074F5" w:rsidP="00466750">
      <w:pPr>
        <w:pStyle w:val="BodyA"/>
        <w:jc w:val="both"/>
      </w:pPr>
      <w:r>
        <w:rPr>
          <w:rStyle w:val="None"/>
          <w:rFonts w:ascii="Times New Roman" w:hAnsi="Times New Roman"/>
          <w:color w:val="222222"/>
          <w:sz w:val="24"/>
          <w:szCs w:val="24"/>
          <w:u w:color="222222"/>
        </w:rPr>
        <w:t>In response to cytokine-induced hypoxia, upregulation of hypoxia inducible factor (HIF) genes occurs, which in turn promote the increase production of vascular endothelial growth factor (VEGF) (35) and transforming growth factor beta (</w:t>
      </w:r>
      <w:r w:rsidR="00DA5D11" w:rsidRPr="00E55ECD">
        <w:rPr>
          <w:rStyle w:val="None"/>
          <w:rFonts w:ascii="Times New Roman" w:hAnsi="Times New Roman" w:cs="Times New Roman"/>
          <w:sz w:val="24"/>
          <w:szCs w:val="24"/>
        </w:rPr>
        <w:t>TGF-</w:t>
      </w:r>
      <w:r w:rsidR="00962F0F" w:rsidRPr="00E55ECD">
        <w:rPr>
          <w:rStyle w:val="None"/>
          <w:rFonts w:ascii="Times New Roman" w:hAnsi="Times New Roman" w:cs="Times New Roman"/>
          <w:sz w:val="24"/>
          <w:szCs w:val="24"/>
        </w:rPr>
        <w:t>beta</w:t>
      </w:r>
      <w:r w:rsidR="00962F0F">
        <w:rPr>
          <w:rStyle w:val="None"/>
          <w:rFonts w:ascii="Times New Roman" w:hAnsi="Times New Roman"/>
          <w:color w:val="222222"/>
          <w:sz w:val="24"/>
          <w:szCs w:val="24"/>
          <w:u w:color="222222"/>
        </w:rPr>
        <w:t xml:space="preserve"> (</w:t>
      </w:r>
      <w:r>
        <w:rPr>
          <w:rStyle w:val="None"/>
          <w:rFonts w:ascii="Times New Roman" w:hAnsi="Times New Roman"/>
          <w:color w:val="222222"/>
          <w:sz w:val="24"/>
          <w:szCs w:val="24"/>
          <w:u w:color="222222"/>
        </w:rPr>
        <w:t xml:space="preserve">36). VEGF is known for vasodilation (37), angiogenesis, and neuroprotection (38). VEGF can be conspicuously high or low in patients with CIRS (23). With VEGF deficiency, there is loss of neuroprotection with noted increased permeability of blood brain barrier (39), as well as capillary hypoperfusion (23). Symptoms associated with low VEGF include shortness of breath, cognitive dysfunction (28), fatigue, and muscle cramps (40). </w:t>
      </w:r>
    </w:p>
    <w:p w14:paraId="6DD411B6" w14:textId="2E3B9490" w:rsidR="00185232" w:rsidRDefault="00DA5D11" w:rsidP="00466750">
      <w:pPr>
        <w:pStyle w:val="BodyA"/>
        <w:jc w:val="both"/>
      </w:pPr>
      <w:r w:rsidRPr="00E55ECD">
        <w:rPr>
          <w:rStyle w:val="None"/>
          <w:rFonts w:ascii="Times New Roman" w:hAnsi="Times New Roman" w:cs="Times New Roman"/>
          <w:sz w:val="24"/>
          <w:szCs w:val="24"/>
        </w:rPr>
        <w:t>TGF-beta</w:t>
      </w:r>
      <w:r w:rsidR="006074F5">
        <w:rPr>
          <w:rStyle w:val="None"/>
          <w:rFonts w:ascii="Times New Roman" w:hAnsi="Times New Roman"/>
          <w:color w:val="222222"/>
          <w:sz w:val="24"/>
          <w:szCs w:val="24"/>
          <w:u w:color="222222"/>
        </w:rPr>
        <w:t xml:space="preserve"> induces VEGF production (41), </w:t>
      </w:r>
      <w:r w:rsidR="00B415F4">
        <w:rPr>
          <w:rStyle w:val="None"/>
          <w:rFonts w:ascii="Times New Roman" w:hAnsi="Times New Roman"/>
          <w:color w:val="222222"/>
          <w:sz w:val="24"/>
          <w:szCs w:val="24"/>
          <w:u w:color="222222"/>
        </w:rPr>
        <w:t>and</w:t>
      </w:r>
      <w:r w:rsidR="006074F5">
        <w:rPr>
          <w:rStyle w:val="None"/>
          <w:rFonts w:ascii="Times New Roman" w:hAnsi="Times New Roman"/>
          <w:color w:val="222222"/>
          <w:sz w:val="24"/>
          <w:szCs w:val="24"/>
          <w:u w:color="222222"/>
        </w:rPr>
        <w:t xml:space="preserve"> promotes stiffening of soft, pliable epithelial cells (42). This latter process is known as epithelial mesenchymal transformation (EMT) (42). Such remodeling in the lung tissue can result in a restrictive airway pattern and fibrosis (43).  </w:t>
      </w:r>
      <w:r w:rsidR="00B415F4">
        <w:rPr>
          <w:rStyle w:val="None"/>
          <w:rFonts w:ascii="Times New Roman" w:hAnsi="Times New Roman"/>
          <w:color w:val="222222"/>
          <w:sz w:val="24"/>
          <w:szCs w:val="24"/>
          <w:u w:color="222222"/>
        </w:rPr>
        <w:t>Like</w:t>
      </w:r>
      <w:r w:rsidR="006074F5">
        <w:rPr>
          <w:rStyle w:val="None"/>
          <w:rFonts w:ascii="Times New Roman" w:hAnsi="Times New Roman"/>
          <w:color w:val="222222"/>
          <w:sz w:val="24"/>
          <w:szCs w:val="24"/>
          <w:u w:color="222222"/>
        </w:rPr>
        <w:t xml:space="preserve"> VEGF (44), </w:t>
      </w:r>
      <w:r w:rsidRPr="00E55ECD">
        <w:rPr>
          <w:rStyle w:val="None"/>
          <w:rFonts w:ascii="Times New Roman" w:hAnsi="Times New Roman" w:cs="Times New Roman"/>
          <w:sz w:val="24"/>
          <w:szCs w:val="24"/>
        </w:rPr>
        <w:t>TGF-beta</w:t>
      </w:r>
      <w:r w:rsidR="006074F5">
        <w:rPr>
          <w:rStyle w:val="None"/>
          <w:rFonts w:ascii="Times New Roman" w:hAnsi="Times New Roman"/>
          <w:color w:val="222222"/>
          <w:sz w:val="24"/>
          <w:szCs w:val="24"/>
          <w:u w:color="222222"/>
        </w:rPr>
        <w:t xml:space="preserve"> can increase blood brain barrier permeability (45). </w:t>
      </w:r>
    </w:p>
    <w:p w14:paraId="7BB868AD" w14:textId="77777777" w:rsidR="00185232" w:rsidRDefault="00185232" w:rsidP="00466750">
      <w:pPr>
        <w:pStyle w:val="BodyA"/>
        <w:jc w:val="both"/>
      </w:pPr>
    </w:p>
    <w:p w14:paraId="6C94B4E6" w14:textId="15497B83" w:rsidR="00185232" w:rsidRDefault="006074F5" w:rsidP="00466750">
      <w:pPr>
        <w:pStyle w:val="BodyA"/>
        <w:jc w:val="both"/>
      </w:pPr>
      <w:r>
        <w:rPr>
          <w:rStyle w:val="None"/>
          <w:rFonts w:ascii="Times New Roman" w:hAnsi="Times New Roman"/>
          <w:b/>
          <w:bCs/>
          <w:color w:val="222222"/>
          <w:sz w:val="24"/>
          <w:szCs w:val="24"/>
          <w:u w:color="222222"/>
        </w:rPr>
        <w:t xml:space="preserve">Stage 4: Immune System Effects (Tregs, </w:t>
      </w:r>
      <w:r w:rsidR="00DA5D11" w:rsidRPr="00E55ECD">
        <w:rPr>
          <w:rStyle w:val="None"/>
          <w:rFonts w:ascii="Times New Roman" w:hAnsi="Times New Roman" w:cs="Times New Roman"/>
          <w:sz w:val="24"/>
          <w:szCs w:val="24"/>
        </w:rPr>
        <w:t>TGF-beta</w:t>
      </w:r>
      <w:r>
        <w:rPr>
          <w:rStyle w:val="None"/>
          <w:rFonts w:ascii="Times New Roman" w:hAnsi="Times New Roman"/>
          <w:b/>
          <w:bCs/>
          <w:color w:val="222222"/>
          <w:sz w:val="24"/>
          <w:szCs w:val="24"/>
          <w:u w:color="222222"/>
        </w:rPr>
        <w:t>, Antibodies, C4a)</w:t>
      </w:r>
    </w:p>
    <w:p w14:paraId="1FECC5BB" w14:textId="77777777" w:rsidR="00185232" w:rsidRDefault="006074F5" w:rsidP="00466750">
      <w:pPr>
        <w:pStyle w:val="BodyA"/>
        <w:jc w:val="both"/>
      </w:pPr>
      <w:r>
        <w:rPr>
          <w:rStyle w:val="None"/>
          <w:rFonts w:ascii="Times New Roman" w:hAnsi="Times New Roman"/>
          <w:color w:val="222222"/>
          <w:sz w:val="24"/>
          <w:szCs w:val="24"/>
          <w:u w:color="222222"/>
        </w:rPr>
        <w:t>Persistent innate inflammation leads to abnormal T cell responses (46)</w:t>
      </w:r>
      <w:r>
        <w:rPr>
          <w:rStyle w:val="None"/>
          <w:rFonts w:ascii="Times New Roman" w:hAnsi="Times New Roman"/>
          <w:sz w:val="24"/>
          <w:szCs w:val="24"/>
        </w:rPr>
        <w:t xml:space="preserve"> </w:t>
      </w:r>
      <w:r>
        <w:rPr>
          <w:rStyle w:val="None"/>
          <w:rFonts w:ascii="Times New Roman" w:hAnsi="Times New Roman"/>
          <w:color w:val="222222"/>
          <w:sz w:val="24"/>
          <w:szCs w:val="24"/>
          <w:u w:color="222222"/>
        </w:rPr>
        <w:t xml:space="preserve">and dysregulated complement cascade (5, 14, 47). </w:t>
      </w:r>
    </w:p>
    <w:p w14:paraId="596A593E" w14:textId="00933355" w:rsidR="00185232" w:rsidRDefault="009751B6" w:rsidP="00466750">
      <w:pPr>
        <w:pStyle w:val="BodyA"/>
        <w:jc w:val="both"/>
      </w:pPr>
      <w:r>
        <w:rPr>
          <w:rStyle w:val="None"/>
          <w:rFonts w:ascii="Times New Roman" w:hAnsi="Times New Roman"/>
          <w:color w:val="222222"/>
          <w:sz w:val="24"/>
          <w:szCs w:val="24"/>
          <w:u w:color="222222"/>
        </w:rPr>
        <w:t xml:space="preserve">In a normal host, there is tight regulation over the production of mature effector helper T (Th) cells and regulatory T (Treg) cells (46). Each of these mature T cells have specific functions in the immune system: Th1 and Th17 are implicated in autoimmune diseases; Th2 are involved in allergies; Tregs modulate inflammatory responses through regulation of Th cells (48). </w:t>
      </w:r>
      <w:r w:rsidR="006074F5">
        <w:rPr>
          <w:rStyle w:val="None"/>
          <w:rFonts w:ascii="Times New Roman" w:hAnsi="Times New Roman"/>
          <w:color w:val="222222"/>
          <w:sz w:val="24"/>
          <w:szCs w:val="24"/>
          <w:u w:color="222222"/>
        </w:rPr>
        <w:t xml:space="preserve">Cytokines play a role in dictating maturation of naïve CD4+ T cells into </w:t>
      </w:r>
      <w:r>
        <w:rPr>
          <w:rStyle w:val="None"/>
          <w:rFonts w:ascii="Times New Roman" w:hAnsi="Times New Roman"/>
          <w:color w:val="222222"/>
          <w:sz w:val="24"/>
          <w:szCs w:val="24"/>
          <w:u w:color="222222"/>
        </w:rPr>
        <w:t xml:space="preserve">the </w:t>
      </w:r>
      <w:r w:rsidR="002D226E">
        <w:rPr>
          <w:rStyle w:val="None"/>
          <w:rFonts w:ascii="Times New Roman" w:hAnsi="Times New Roman"/>
          <w:color w:val="222222"/>
          <w:sz w:val="24"/>
          <w:szCs w:val="24"/>
          <w:u w:color="222222"/>
        </w:rPr>
        <w:t xml:space="preserve">various functional </w:t>
      </w:r>
      <w:r>
        <w:rPr>
          <w:rStyle w:val="None"/>
          <w:rFonts w:ascii="Times New Roman" w:hAnsi="Times New Roman"/>
          <w:color w:val="222222"/>
          <w:sz w:val="24"/>
          <w:szCs w:val="24"/>
          <w:u w:color="222222"/>
        </w:rPr>
        <w:t xml:space="preserve">subtypes: </w:t>
      </w:r>
      <w:r w:rsidR="002D226E">
        <w:rPr>
          <w:rStyle w:val="None"/>
          <w:rFonts w:ascii="Times New Roman" w:hAnsi="Times New Roman"/>
          <w:color w:val="222222"/>
          <w:sz w:val="24"/>
          <w:szCs w:val="24"/>
          <w:u w:color="222222"/>
        </w:rPr>
        <w:t xml:space="preserve">IL-12 and interferon gamma induce TH1 cells; IL-4 induces Th2 cells; </w:t>
      </w:r>
      <w:r>
        <w:rPr>
          <w:rStyle w:val="None"/>
          <w:rFonts w:ascii="Times New Roman" w:hAnsi="Times New Roman"/>
          <w:color w:val="222222"/>
          <w:sz w:val="24"/>
          <w:szCs w:val="24"/>
          <w:u w:color="222222"/>
        </w:rPr>
        <w:t>IL-6,</w:t>
      </w:r>
      <w:r w:rsidR="005724D0">
        <w:rPr>
          <w:rStyle w:val="None"/>
          <w:rFonts w:ascii="Times New Roman" w:hAnsi="Times New Roman"/>
          <w:color w:val="222222"/>
          <w:sz w:val="24"/>
          <w:szCs w:val="24"/>
          <w:u w:color="222222"/>
        </w:rPr>
        <w:t xml:space="preserve"> </w:t>
      </w:r>
      <w:r>
        <w:rPr>
          <w:rStyle w:val="None"/>
          <w:rFonts w:ascii="Times New Roman" w:hAnsi="Times New Roman"/>
          <w:color w:val="222222"/>
          <w:sz w:val="24"/>
          <w:szCs w:val="24"/>
          <w:u w:color="222222"/>
        </w:rPr>
        <w:t xml:space="preserve">IL-23, and </w:t>
      </w:r>
      <w:r w:rsidR="005724D0">
        <w:rPr>
          <w:rStyle w:val="None"/>
          <w:rFonts w:ascii="Times New Roman" w:hAnsi="Times New Roman"/>
          <w:color w:val="222222"/>
          <w:sz w:val="24"/>
          <w:szCs w:val="24"/>
          <w:u w:color="222222"/>
        </w:rPr>
        <w:t xml:space="preserve">elevated </w:t>
      </w:r>
      <w:r w:rsidR="00DA5D11" w:rsidRPr="00E55ECD">
        <w:rPr>
          <w:rStyle w:val="None"/>
          <w:rFonts w:ascii="Times New Roman" w:hAnsi="Times New Roman" w:cs="Times New Roman"/>
          <w:sz w:val="24"/>
          <w:szCs w:val="24"/>
        </w:rPr>
        <w:t>TGF-beta</w:t>
      </w:r>
      <w:r>
        <w:rPr>
          <w:rStyle w:val="None"/>
          <w:rFonts w:ascii="Times New Roman" w:hAnsi="Times New Roman"/>
          <w:color w:val="222222"/>
          <w:sz w:val="24"/>
          <w:szCs w:val="24"/>
          <w:u w:color="222222"/>
        </w:rPr>
        <w:t xml:space="preserve"> induce Th17 cells; IL-2 and </w:t>
      </w:r>
      <w:r w:rsidR="005724D0">
        <w:rPr>
          <w:rStyle w:val="None"/>
          <w:rFonts w:ascii="Times New Roman" w:hAnsi="Times New Roman"/>
          <w:color w:val="222222"/>
          <w:sz w:val="24"/>
          <w:szCs w:val="24"/>
          <w:u w:color="222222"/>
        </w:rPr>
        <w:t xml:space="preserve">normal levels of </w:t>
      </w:r>
      <w:r w:rsidR="00DA5D11" w:rsidRPr="00E55ECD">
        <w:rPr>
          <w:rStyle w:val="None"/>
          <w:rFonts w:ascii="Times New Roman" w:hAnsi="Times New Roman" w:cs="Times New Roman"/>
          <w:sz w:val="24"/>
          <w:szCs w:val="24"/>
        </w:rPr>
        <w:t>TGF-beta</w:t>
      </w:r>
      <w:r w:rsidR="00DA5D11">
        <w:rPr>
          <w:rStyle w:val="None"/>
          <w:rFonts w:ascii="Times New Roman" w:hAnsi="Times New Roman" w:cs="Times New Roman"/>
          <w:sz w:val="24"/>
          <w:szCs w:val="24"/>
        </w:rPr>
        <w:t xml:space="preserve"> </w:t>
      </w:r>
      <w:r>
        <w:rPr>
          <w:rStyle w:val="None"/>
          <w:rFonts w:ascii="Times New Roman" w:hAnsi="Times New Roman"/>
          <w:color w:val="222222"/>
          <w:sz w:val="24"/>
          <w:szCs w:val="24"/>
          <w:u w:color="222222"/>
        </w:rPr>
        <w:t>induce Treg cells (46).</w:t>
      </w:r>
      <w:r w:rsidR="006074F5">
        <w:rPr>
          <w:rStyle w:val="None"/>
          <w:rFonts w:ascii="Times New Roman" w:hAnsi="Times New Roman"/>
          <w:color w:val="222222"/>
          <w:sz w:val="24"/>
          <w:szCs w:val="24"/>
          <w:u w:color="222222"/>
        </w:rPr>
        <w:t xml:space="preserve"> </w:t>
      </w:r>
      <w:r w:rsidR="001B3330">
        <w:rPr>
          <w:rStyle w:val="None"/>
          <w:rFonts w:ascii="Times New Roman" w:hAnsi="Times New Roman"/>
          <w:color w:val="222222"/>
          <w:sz w:val="24"/>
          <w:szCs w:val="24"/>
          <w:u w:color="222222"/>
        </w:rPr>
        <w:t>Additionally</w:t>
      </w:r>
      <w:r w:rsidR="006074F5">
        <w:rPr>
          <w:rStyle w:val="None"/>
          <w:rFonts w:ascii="Times New Roman" w:hAnsi="Times New Roman"/>
          <w:sz w:val="24"/>
          <w:szCs w:val="24"/>
          <w:shd w:val="clear" w:color="auto" w:fill="FFFFFF"/>
        </w:rPr>
        <w:t>, s</w:t>
      </w:r>
      <w:r w:rsidR="006074F5">
        <w:rPr>
          <w:rStyle w:val="None"/>
          <w:rFonts w:ascii="Times New Roman" w:hAnsi="Times New Roman"/>
          <w:color w:val="222222"/>
          <w:sz w:val="24"/>
          <w:szCs w:val="24"/>
          <w:u w:color="222222"/>
        </w:rPr>
        <w:t>pecific intracellular proteins known as “</w:t>
      </w:r>
      <w:r w:rsidR="006074F5">
        <w:rPr>
          <w:rStyle w:val="None"/>
          <w:rFonts w:ascii="Times New Roman" w:hAnsi="Times New Roman"/>
          <w:sz w:val="24"/>
          <w:szCs w:val="24"/>
          <w:shd w:val="clear" w:color="auto" w:fill="FFFFFF"/>
        </w:rPr>
        <w:t xml:space="preserve">suppressors of cytokine signaling” (SOCS) 1 </w:t>
      </w:r>
      <w:r w:rsidR="001B3330">
        <w:rPr>
          <w:rStyle w:val="None"/>
          <w:rFonts w:ascii="Times New Roman" w:hAnsi="Times New Roman"/>
          <w:sz w:val="24"/>
          <w:szCs w:val="24"/>
          <w:shd w:val="clear" w:color="auto" w:fill="FFFFFF"/>
        </w:rPr>
        <w:t xml:space="preserve">and SOCS 3 </w:t>
      </w:r>
      <w:r w:rsidR="006074F5">
        <w:rPr>
          <w:rStyle w:val="None"/>
          <w:rFonts w:ascii="Times New Roman" w:hAnsi="Times New Roman"/>
          <w:sz w:val="24"/>
          <w:szCs w:val="24"/>
          <w:shd w:val="clear" w:color="auto" w:fill="FFFFFF"/>
        </w:rPr>
        <w:t xml:space="preserve">influence cytokine effects on </w:t>
      </w:r>
      <w:r w:rsidR="00FE3CB9">
        <w:rPr>
          <w:rStyle w:val="None"/>
          <w:rFonts w:ascii="Times New Roman" w:hAnsi="Times New Roman"/>
          <w:sz w:val="24"/>
          <w:szCs w:val="24"/>
          <w:shd w:val="clear" w:color="auto" w:fill="FFFFFF"/>
        </w:rPr>
        <w:t xml:space="preserve">both </w:t>
      </w:r>
      <w:r w:rsidR="006074F5">
        <w:rPr>
          <w:rStyle w:val="None"/>
          <w:rFonts w:ascii="Times New Roman" w:hAnsi="Times New Roman"/>
          <w:sz w:val="24"/>
          <w:szCs w:val="24"/>
          <w:shd w:val="clear" w:color="auto" w:fill="FFFFFF"/>
        </w:rPr>
        <w:t xml:space="preserve">maturing effector helper T cells </w:t>
      </w:r>
      <w:r w:rsidR="00580AEB">
        <w:rPr>
          <w:rStyle w:val="None"/>
          <w:rFonts w:ascii="Times New Roman" w:hAnsi="Times New Roman"/>
          <w:sz w:val="24"/>
          <w:szCs w:val="24"/>
          <w:shd w:val="clear" w:color="auto" w:fill="FFFFFF"/>
        </w:rPr>
        <w:t xml:space="preserve">and Tregs </w:t>
      </w:r>
      <w:r w:rsidR="006074F5">
        <w:rPr>
          <w:rStyle w:val="None"/>
          <w:rFonts w:ascii="Times New Roman" w:hAnsi="Times New Roman"/>
          <w:sz w:val="24"/>
          <w:szCs w:val="24"/>
          <w:shd w:val="clear" w:color="auto" w:fill="FFFFFF"/>
        </w:rPr>
        <w:t>(46). </w:t>
      </w:r>
    </w:p>
    <w:p w14:paraId="5FEE9635" w14:textId="4816524A" w:rsidR="00185232" w:rsidRDefault="006074F5" w:rsidP="00466750">
      <w:pPr>
        <w:pStyle w:val="BodyA"/>
        <w:jc w:val="both"/>
      </w:pPr>
      <w:r>
        <w:rPr>
          <w:rStyle w:val="None"/>
          <w:rFonts w:ascii="Times New Roman" w:hAnsi="Times New Roman"/>
          <w:sz w:val="24"/>
          <w:szCs w:val="24"/>
          <w:shd w:val="clear" w:color="auto" w:fill="FFFFFF"/>
        </w:rPr>
        <w:t>The forkhead box P3 (</w:t>
      </w:r>
      <w:r>
        <w:rPr>
          <w:rStyle w:val="None"/>
          <w:rFonts w:ascii="Times New Roman" w:hAnsi="Times New Roman"/>
          <w:color w:val="222222"/>
          <w:sz w:val="24"/>
          <w:szCs w:val="24"/>
          <w:u w:color="222222"/>
        </w:rPr>
        <w:t xml:space="preserve">FOXP3) gene is the “master of gene control” for Tregs (49). In SOCS1 deficient Tregs, there is a loss of FOXP3 expression, leading to production of pathogenic Tregs (46). </w:t>
      </w:r>
      <w:r>
        <w:rPr>
          <w:rStyle w:val="None"/>
          <w:rFonts w:ascii="Times New Roman" w:hAnsi="Times New Roman"/>
          <w:sz w:val="24"/>
          <w:szCs w:val="24"/>
          <w:shd w:val="clear" w:color="auto" w:fill="FFFFFF"/>
        </w:rPr>
        <w:t xml:space="preserve">Although CD4+CD25+ Treg cells normally suppress autoimmunity (49), </w:t>
      </w:r>
      <w:r>
        <w:rPr>
          <w:rStyle w:val="None"/>
          <w:rFonts w:ascii="Times New Roman" w:hAnsi="Times New Roman"/>
          <w:color w:val="222222"/>
          <w:sz w:val="24"/>
          <w:szCs w:val="24"/>
          <w:u w:color="222222"/>
        </w:rPr>
        <w:t>once they become </w:t>
      </w:r>
      <w:r>
        <w:rPr>
          <w:rStyle w:val="None"/>
          <w:rFonts w:ascii="Times New Roman" w:hAnsi="Times New Roman"/>
          <w:sz w:val="24"/>
          <w:szCs w:val="24"/>
          <w:shd w:val="clear" w:color="auto" w:fill="FFFFFF"/>
        </w:rPr>
        <w:t>pathogenic T</w:t>
      </w:r>
      <w:r w:rsidR="00962F0F">
        <w:rPr>
          <w:rStyle w:val="None"/>
          <w:rFonts w:ascii="Times New Roman" w:hAnsi="Times New Roman"/>
          <w:sz w:val="24"/>
          <w:szCs w:val="24"/>
          <w:shd w:val="clear" w:color="auto" w:fill="FFFFFF"/>
        </w:rPr>
        <w:t xml:space="preserve"> </w:t>
      </w:r>
      <w:r>
        <w:rPr>
          <w:rStyle w:val="None"/>
          <w:rFonts w:ascii="Times New Roman" w:hAnsi="Times New Roman"/>
          <w:sz w:val="24"/>
          <w:szCs w:val="24"/>
          <w:shd w:val="clear" w:color="auto" w:fill="FFFFFF"/>
        </w:rPr>
        <w:t xml:space="preserve">cells in the face of ongoing inflammation they </w:t>
      </w:r>
      <w:r w:rsidR="00B415F4">
        <w:rPr>
          <w:rStyle w:val="None"/>
          <w:rFonts w:ascii="Times New Roman" w:hAnsi="Times New Roman"/>
          <w:sz w:val="24"/>
          <w:szCs w:val="24"/>
          <w:shd w:val="clear" w:color="auto" w:fill="FFFFFF"/>
        </w:rPr>
        <w:t>can</w:t>
      </w:r>
      <w:r>
        <w:rPr>
          <w:rStyle w:val="None"/>
          <w:rFonts w:ascii="Times New Roman" w:hAnsi="Times New Roman"/>
          <w:sz w:val="24"/>
          <w:szCs w:val="24"/>
          <w:shd w:val="clear" w:color="auto" w:fill="FFFFFF"/>
        </w:rPr>
        <w:t xml:space="preserve"> induce autoimmunity (46) </w:t>
      </w:r>
      <w:r>
        <w:rPr>
          <w:rStyle w:val="None"/>
          <w:rFonts w:ascii="Times New Roman" w:hAnsi="Times New Roman"/>
          <w:color w:val="222222"/>
          <w:sz w:val="24"/>
          <w:szCs w:val="24"/>
          <w:u w:color="222222"/>
          <w:shd w:val="clear" w:color="auto" w:fill="FFFFFF"/>
        </w:rPr>
        <w:t xml:space="preserve">and to create tissue inflammation (50). </w:t>
      </w:r>
      <w:r>
        <w:rPr>
          <w:rStyle w:val="None"/>
          <w:rFonts w:ascii="Times New Roman" w:hAnsi="Times New Roman"/>
          <w:sz w:val="24"/>
          <w:szCs w:val="24"/>
          <w:shd w:val="clear" w:color="auto" w:fill="FFFFFF"/>
        </w:rPr>
        <w:t>In CIRS patients, levels of circulating CD4+CD25+ Tregs were noted to decrease on Day 1 upon re-exposure to a water damaged building (WDB) without spontaneous return to normalcy (51). This finding supports the notion that the innate inflammation incited by inhalation of particulates from the WDB exposure induced conversion of CD4+CD25+ Tregs into pathogenic Tregs, thereby decreasing measurable levels of the CD4+CD25+ Tregs (51). </w:t>
      </w:r>
      <w:hyperlink w:anchor="bookmark2" w:history="1">
        <w:bookmarkStart w:id="4" w:name="_Hlk507369133"/>
        <w:r>
          <w:rPr>
            <w:rStyle w:val="Hyperlink3"/>
            <w:rFonts w:eastAsia="Calibri"/>
          </w:rPr>
          <w:t> </w:t>
        </w:r>
        <w:bookmarkEnd w:id="4"/>
      </w:hyperlink>
    </w:p>
    <w:p w14:paraId="5F0564AA" w14:textId="2A24E96B" w:rsidR="00185232" w:rsidRDefault="006074F5" w:rsidP="00466750">
      <w:pPr>
        <w:pStyle w:val="BodyA"/>
        <w:jc w:val="both"/>
      </w:pPr>
      <w:r>
        <w:rPr>
          <w:rStyle w:val="None"/>
          <w:rFonts w:ascii="Times New Roman" w:hAnsi="Times New Roman"/>
          <w:sz w:val="24"/>
          <w:szCs w:val="24"/>
          <w:shd w:val="clear" w:color="auto" w:fill="FFFFFF"/>
        </w:rPr>
        <w:t xml:space="preserve">Additionally, </w:t>
      </w:r>
      <w:r w:rsidR="00DA5D11" w:rsidRPr="00E55ECD">
        <w:rPr>
          <w:rStyle w:val="None"/>
          <w:rFonts w:ascii="Times New Roman" w:hAnsi="Times New Roman" w:cs="Times New Roman"/>
          <w:sz w:val="24"/>
          <w:szCs w:val="24"/>
        </w:rPr>
        <w:t>TGF-beta</w:t>
      </w:r>
      <w:r>
        <w:rPr>
          <w:rStyle w:val="None"/>
          <w:rFonts w:ascii="Times New Roman" w:hAnsi="Times New Roman"/>
          <w:sz w:val="24"/>
          <w:szCs w:val="24"/>
          <w:shd w:val="clear" w:color="auto" w:fill="FFFFFF"/>
        </w:rPr>
        <w:t xml:space="preserve"> regulates pathways that initiate and maintain expression of FOXP3, thereby manipulating production of Treg cells (52). </w:t>
      </w:r>
    </w:p>
    <w:p w14:paraId="6CF3BFCC" w14:textId="77777777" w:rsidR="00185232" w:rsidRDefault="006074F5" w:rsidP="00466750">
      <w:pPr>
        <w:pStyle w:val="BodyA"/>
        <w:spacing w:before="240"/>
        <w:jc w:val="both"/>
      </w:pPr>
      <w:r>
        <w:rPr>
          <w:rStyle w:val="None"/>
          <w:rFonts w:ascii="Times New Roman" w:hAnsi="Times New Roman"/>
          <w:sz w:val="24"/>
          <w:szCs w:val="24"/>
          <w:shd w:val="clear" w:color="auto" w:fill="FFFFFF"/>
        </w:rPr>
        <w:t>CIRS patients can develop autoimmunity as evidenced by the following antibodies: anti-gliadin antibodies (gluten sensitivity), anti-</w:t>
      </w:r>
      <w:r>
        <w:rPr>
          <w:rStyle w:val="None"/>
          <w:rFonts w:ascii="Times New Roman" w:hAnsi="Times New Roman"/>
          <w:color w:val="222222"/>
          <w:sz w:val="24"/>
          <w:szCs w:val="24"/>
          <w:u w:color="222222"/>
          <w:shd w:val="clear" w:color="auto" w:fill="FFFFFF"/>
          <w:lang w:val="it-IT"/>
        </w:rPr>
        <w:t>cardiolipin antibodies (ACLA) (53), antineutrophil cytoplasmic</w:t>
      </w:r>
      <w:r>
        <w:rPr>
          <w:rStyle w:val="None"/>
          <w:rFonts w:ascii="Times New Roman" w:hAnsi="Times New Roman"/>
          <w:color w:val="222222"/>
          <w:sz w:val="24"/>
          <w:szCs w:val="24"/>
          <w:u w:color="222222"/>
          <w:shd w:val="clear" w:color="auto" w:fill="FFFFFF"/>
        </w:rPr>
        <w:t> </w:t>
      </w:r>
      <w:r>
        <w:rPr>
          <w:rStyle w:val="None"/>
          <w:rFonts w:ascii="Times New Roman" w:hAnsi="Times New Roman"/>
          <w:color w:val="222222"/>
          <w:sz w:val="24"/>
          <w:szCs w:val="24"/>
          <w:u w:color="222222"/>
          <w:shd w:val="clear" w:color="auto" w:fill="FFFFFF"/>
          <w:lang w:val="de-DE"/>
        </w:rPr>
        <w:t>antibodies</w:t>
      </w:r>
      <w:r>
        <w:rPr>
          <w:rStyle w:val="None"/>
          <w:rFonts w:ascii="Times New Roman" w:hAnsi="Times New Roman"/>
          <w:color w:val="222222"/>
          <w:sz w:val="24"/>
          <w:szCs w:val="24"/>
          <w:u w:color="222222"/>
          <w:shd w:val="clear" w:color="auto" w:fill="FFFFFF"/>
        </w:rPr>
        <w:t> (ANCA) (28), and more.</w:t>
      </w:r>
    </w:p>
    <w:p w14:paraId="5E11E07B" w14:textId="77777777" w:rsidR="00185232" w:rsidRDefault="006074F5" w:rsidP="00466750">
      <w:pPr>
        <w:pStyle w:val="BodyA"/>
        <w:spacing w:before="240"/>
        <w:jc w:val="both"/>
      </w:pPr>
      <w:r>
        <w:rPr>
          <w:rStyle w:val="None"/>
          <w:rFonts w:ascii="Times New Roman" w:hAnsi="Times New Roman"/>
          <w:color w:val="222222"/>
          <w:sz w:val="24"/>
          <w:szCs w:val="24"/>
          <w:u w:color="222222"/>
        </w:rPr>
        <w:t xml:space="preserve">CIRS can also involve derangements in the complement cascade, indicated by elevated C4a levels (5, </w:t>
      </w:r>
      <w:r>
        <w:rPr>
          <w:rStyle w:val="None"/>
          <w:rFonts w:ascii="Times New Roman" w:hAnsi="Times New Roman"/>
          <w:color w:val="222222"/>
          <w:sz w:val="24"/>
          <w:szCs w:val="24"/>
          <w:u w:color="222222"/>
          <w:lang w:val="de-DE"/>
        </w:rPr>
        <w:t>14,</w:t>
      </w:r>
      <w:r>
        <w:rPr>
          <w:rStyle w:val="None"/>
          <w:rFonts w:ascii="Times New Roman" w:hAnsi="Times New Roman"/>
          <w:color w:val="222222"/>
          <w:sz w:val="24"/>
          <w:szCs w:val="24"/>
          <w:u w:color="222222"/>
        </w:rPr>
        <w:t xml:space="preserve"> 47). C4a elevations occur through activation of the classical and mannose-binding lectin pathways (10) and trigger an amplified release of downstream-signaling proteins, promoting a swift inflammatory response (1). Additionally, some patients may experience auto-activation of the C4a protease enzyme known as </w:t>
      </w:r>
      <w:r>
        <w:rPr>
          <w:rStyle w:val="None"/>
          <w:rFonts w:ascii="Times New Roman" w:hAnsi="Times New Roman"/>
          <w:sz w:val="24"/>
          <w:szCs w:val="24"/>
          <w:shd w:val="clear" w:color="auto" w:fill="FFFFFF"/>
        </w:rPr>
        <w:t xml:space="preserve">mannose-binding protein-associated serine </w:t>
      </w:r>
      <w:r>
        <w:rPr>
          <w:rStyle w:val="None"/>
          <w:rFonts w:ascii="Times New Roman" w:hAnsi="Times New Roman"/>
          <w:i/>
          <w:iCs/>
          <w:sz w:val="24"/>
          <w:szCs w:val="24"/>
          <w:shd w:val="clear" w:color="auto" w:fill="FFFFFF"/>
        </w:rPr>
        <w:t>protease</w:t>
      </w:r>
      <w:r>
        <w:rPr>
          <w:rStyle w:val="None"/>
          <w:rFonts w:ascii="Times New Roman" w:hAnsi="Times New Roman"/>
          <w:sz w:val="24"/>
          <w:szCs w:val="24"/>
          <w:shd w:val="clear" w:color="auto" w:fill="FFFFFF"/>
        </w:rPr>
        <w:t> </w:t>
      </w:r>
      <w:r>
        <w:rPr>
          <w:rStyle w:val="None"/>
          <w:rFonts w:ascii="Times New Roman" w:hAnsi="Times New Roman"/>
          <w:color w:val="222222"/>
          <w:sz w:val="24"/>
          <w:szCs w:val="24"/>
          <w:u w:color="222222"/>
        </w:rPr>
        <w:t xml:space="preserve">(MASP2), giving rise to markedly elevated C4a levels (10).  The MASP2 auto-activation results in a “sicker quicker” phenomenon upon re-exposure (28). Symptoms of elevated C4a include fatigue, musculoskeletal issues (54), capillary hypoperfusion, and cognitive impairment (31). </w:t>
      </w:r>
    </w:p>
    <w:p w14:paraId="6EDDB3C2" w14:textId="77777777" w:rsidR="00185232" w:rsidRDefault="00185232" w:rsidP="00466750">
      <w:pPr>
        <w:pStyle w:val="BodyA"/>
        <w:spacing w:before="240"/>
        <w:jc w:val="both"/>
      </w:pPr>
    </w:p>
    <w:p w14:paraId="4A461AF4" w14:textId="77777777" w:rsidR="00185232" w:rsidRDefault="006074F5" w:rsidP="00466750">
      <w:pPr>
        <w:pStyle w:val="BodyA"/>
        <w:jc w:val="both"/>
      </w:pPr>
      <w:r>
        <w:rPr>
          <w:rStyle w:val="None"/>
          <w:rFonts w:ascii="Times New Roman" w:hAnsi="Times New Roman"/>
          <w:b/>
          <w:bCs/>
          <w:color w:val="222222"/>
          <w:sz w:val="24"/>
          <w:szCs w:val="24"/>
          <w:u w:color="222222"/>
        </w:rPr>
        <w:t>Stage 5: Low MSH and Endorphins</w:t>
      </w:r>
    </w:p>
    <w:p w14:paraId="7E84D7AE" w14:textId="77777777" w:rsidR="00185232" w:rsidRDefault="006074F5" w:rsidP="00466750">
      <w:pPr>
        <w:pStyle w:val="BodyA"/>
        <w:jc w:val="both"/>
      </w:pPr>
      <w:r>
        <w:rPr>
          <w:rStyle w:val="None"/>
          <w:rFonts w:ascii="Times New Roman" w:hAnsi="Times New Roman"/>
          <w:color w:val="222222"/>
          <w:sz w:val="24"/>
          <w:szCs w:val="24"/>
          <w:u w:color="222222"/>
        </w:rPr>
        <w:t>Chronic leptin resistance limits production of MSH. Low MSH levels lead to further immune system dysfunction, sleep issues, and gut malabsorption (28). The MSH driven conversion of T helper cells into CD4+CD25+ Treg cells, leading to suppression of hypersensitivity and autoimmune diseases (55</w:t>
      </w:r>
      <w:bookmarkStart w:id="5" w:name="_Hlk507255828"/>
      <w:r>
        <w:rPr>
          <w:rStyle w:val="None"/>
          <w:rFonts w:ascii="Times New Roman" w:hAnsi="Times New Roman"/>
          <w:color w:val="222222"/>
          <w:sz w:val="24"/>
          <w:szCs w:val="24"/>
          <w:u w:color="222222"/>
        </w:rPr>
        <w:t>), is diminished in MSH deficiency. </w:t>
      </w:r>
      <w:bookmarkEnd w:id="5"/>
      <w:r>
        <w:rPr>
          <w:rStyle w:val="None"/>
          <w:rFonts w:ascii="Times New Roman" w:hAnsi="Times New Roman"/>
          <w:color w:val="222222"/>
          <w:sz w:val="24"/>
          <w:szCs w:val="24"/>
          <w:u w:color="222222"/>
        </w:rPr>
        <w:t xml:space="preserve">With loss of leukocyte regulation over cytokine responses, patients may succumb to opportunistic infections (28) and have slower recovery from infections (56). MSH tightens junctions in the gut lining and has anti-inflammatory effects in the colon (57). </w:t>
      </w:r>
      <w:r>
        <w:rPr>
          <w:rStyle w:val="None"/>
          <w:rFonts w:ascii="Times New Roman" w:hAnsi="Times New Roman"/>
          <w:color w:val="0563C1"/>
          <w:sz w:val="24"/>
          <w:szCs w:val="24"/>
          <w:u w:color="0563C1"/>
        </w:rPr>
        <w:t xml:space="preserve"> </w:t>
      </w:r>
      <w:r>
        <w:rPr>
          <w:rStyle w:val="None"/>
          <w:rFonts w:ascii="Times New Roman" w:hAnsi="Times New Roman"/>
          <w:color w:val="222222"/>
          <w:sz w:val="24"/>
          <w:szCs w:val="24"/>
          <w:u w:color="222222"/>
        </w:rPr>
        <w:t xml:space="preserve"> As observed in CIRS (28), loss of intestinal epithelial tight junctions can lead to increased intestinal permeability (aka leaky gut), allowing foreign material such as toxins, bacteria, and food antigens into the body (58). Leaky gut has been linked to predisposition to autoimmunity (58), which is seen in some cases of CIRS.</w:t>
      </w:r>
    </w:p>
    <w:p w14:paraId="495334A2" w14:textId="77777777" w:rsidR="00185232" w:rsidRDefault="006074F5" w:rsidP="00466750">
      <w:pPr>
        <w:pStyle w:val="BodyA"/>
        <w:jc w:val="both"/>
      </w:pPr>
      <w:r>
        <w:rPr>
          <w:rStyle w:val="None"/>
          <w:rFonts w:ascii="Times New Roman" w:hAnsi="Times New Roman"/>
          <w:color w:val="222222"/>
          <w:sz w:val="24"/>
          <w:szCs w:val="24"/>
          <w:u w:color="222222"/>
        </w:rPr>
        <w:t xml:space="preserve">Leptin resistance also causes low endorphin levels, resulting in loss of modulation of pain perception which leads to chronic pain and unusual pain (28). </w:t>
      </w:r>
    </w:p>
    <w:p w14:paraId="1816FF99" w14:textId="77777777" w:rsidR="00185232" w:rsidRDefault="00185232" w:rsidP="00466750">
      <w:pPr>
        <w:pStyle w:val="BodyA"/>
        <w:jc w:val="both"/>
      </w:pPr>
    </w:p>
    <w:p w14:paraId="455854C4" w14:textId="77777777" w:rsidR="00185232" w:rsidRDefault="006074F5" w:rsidP="00466750">
      <w:pPr>
        <w:pStyle w:val="BodyA"/>
        <w:jc w:val="both"/>
      </w:pPr>
      <w:r>
        <w:rPr>
          <w:rStyle w:val="None"/>
          <w:rFonts w:ascii="Times New Roman" w:hAnsi="Times New Roman"/>
          <w:b/>
          <w:bCs/>
          <w:color w:val="222222"/>
          <w:sz w:val="24"/>
          <w:szCs w:val="24"/>
          <w:u w:color="222222"/>
        </w:rPr>
        <w:t>Stage 6: Antibiotic Resistant Staph Bacteria</w:t>
      </w:r>
    </w:p>
    <w:p w14:paraId="68B8C847" w14:textId="651B87C9" w:rsidR="00185232" w:rsidRDefault="006074F5" w:rsidP="00466750">
      <w:pPr>
        <w:pStyle w:val="BodyA"/>
        <w:jc w:val="both"/>
      </w:pPr>
      <w:r>
        <w:rPr>
          <w:rStyle w:val="None"/>
          <w:rFonts w:ascii="Times New Roman" w:hAnsi="Times New Roman"/>
          <w:color w:val="222222"/>
          <w:sz w:val="24"/>
          <w:szCs w:val="24"/>
          <w:u w:color="222222"/>
        </w:rPr>
        <w:t xml:space="preserve">Multiple antibiotic resistant coagulase negative </w:t>
      </w:r>
      <w:r w:rsidRPr="002D3A6E">
        <w:rPr>
          <w:rStyle w:val="None"/>
          <w:rFonts w:ascii="Times New Roman" w:hAnsi="Times New Roman"/>
          <w:i/>
          <w:color w:val="222222"/>
          <w:sz w:val="24"/>
          <w:szCs w:val="24"/>
          <w:u w:color="222222"/>
        </w:rPr>
        <w:t>Staph</w:t>
      </w:r>
      <w:r>
        <w:rPr>
          <w:rStyle w:val="None"/>
          <w:rFonts w:ascii="Times New Roman" w:hAnsi="Times New Roman"/>
          <w:color w:val="222222"/>
          <w:sz w:val="24"/>
          <w:szCs w:val="24"/>
          <w:u w:color="222222"/>
        </w:rPr>
        <w:t xml:space="preserve"> (MARCoNS) bacteria colonize in mucosal membrane surfaces (59) with minimal difficulty due to the MSH deficient state in CIRS patients (28). MARCoNS evade host defenses through biofilm formation (59). Additionally, they can secrete exotoxins A and B (60) which split MSH molecules apart, causing further reduction in MSH levels. Coagulase negative </w:t>
      </w:r>
      <w:r w:rsidR="005724D0" w:rsidRPr="002D3A6E">
        <w:rPr>
          <w:rStyle w:val="None"/>
          <w:rFonts w:ascii="Times New Roman" w:hAnsi="Times New Roman"/>
          <w:i/>
          <w:color w:val="222222"/>
          <w:sz w:val="24"/>
          <w:szCs w:val="24"/>
          <w:u w:color="222222"/>
        </w:rPr>
        <w:t>S</w:t>
      </w:r>
      <w:r w:rsidRPr="002D3A6E">
        <w:rPr>
          <w:rStyle w:val="None"/>
          <w:rFonts w:ascii="Times New Roman" w:hAnsi="Times New Roman"/>
          <w:i/>
          <w:color w:val="222222"/>
          <w:sz w:val="24"/>
          <w:szCs w:val="24"/>
          <w:u w:color="222222"/>
        </w:rPr>
        <w:t>taph</w:t>
      </w:r>
      <w:r>
        <w:rPr>
          <w:rStyle w:val="None"/>
          <w:rFonts w:ascii="Times New Roman" w:hAnsi="Times New Roman"/>
          <w:color w:val="222222"/>
          <w:sz w:val="24"/>
          <w:szCs w:val="24"/>
          <w:u w:color="222222"/>
        </w:rPr>
        <w:t xml:space="preserve"> are known to secrete hemolysins which can increase inflammation in the host (61). MARCoNS can also alter genomic expression of host genes (14). </w:t>
      </w:r>
    </w:p>
    <w:p w14:paraId="13E84D46" w14:textId="77777777" w:rsidR="00185232" w:rsidRDefault="00185232" w:rsidP="00466750">
      <w:pPr>
        <w:pStyle w:val="BodyA"/>
        <w:jc w:val="both"/>
      </w:pPr>
    </w:p>
    <w:p w14:paraId="790F5B6C" w14:textId="77777777" w:rsidR="00A43A95" w:rsidRDefault="00A43A95" w:rsidP="00466750">
      <w:pPr>
        <w:pStyle w:val="BodyA"/>
        <w:jc w:val="both"/>
      </w:pPr>
    </w:p>
    <w:p w14:paraId="51E9251C" w14:textId="77777777" w:rsidR="00185232" w:rsidRDefault="006074F5" w:rsidP="00466750">
      <w:pPr>
        <w:pStyle w:val="BodyA"/>
        <w:jc w:val="both"/>
      </w:pPr>
      <w:r>
        <w:rPr>
          <w:rStyle w:val="None"/>
          <w:rFonts w:ascii="Times New Roman" w:hAnsi="Times New Roman"/>
          <w:b/>
          <w:bCs/>
          <w:color w:val="222222"/>
          <w:sz w:val="24"/>
          <w:szCs w:val="24"/>
          <w:u w:color="222222"/>
        </w:rPr>
        <w:t>Stage 7: Pituitary &amp; Hypothalamic Hormone Effects</w:t>
      </w:r>
    </w:p>
    <w:p w14:paraId="7841833A" w14:textId="77777777" w:rsidR="00185232" w:rsidRDefault="006074F5" w:rsidP="00466750">
      <w:pPr>
        <w:pStyle w:val="BodyA"/>
        <w:jc w:val="both"/>
      </w:pPr>
      <w:r>
        <w:rPr>
          <w:rStyle w:val="None"/>
          <w:rFonts w:ascii="Times New Roman" w:hAnsi="Times New Roman"/>
          <w:color w:val="222222"/>
          <w:sz w:val="24"/>
          <w:szCs w:val="24"/>
          <w:u w:color="222222"/>
        </w:rPr>
        <w:t>As the chronic inflammation continues, further hormonal dysregulation ensues.</w:t>
      </w:r>
    </w:p>
    <w:p w14:paraId="04544308" w14:textId="40D070CC" w:rsidR="00185232" w:rsidRDefault="006074F5" w:rsidP="00466750">
      <w:pPr>
        <w:pStyle w:val="BodyA"/>
        <w:jc w:val="both"/>
      </w:pPr>
      <w:r>
        <w:rPr>
          <w:rStyle w:val="None"/>
          <w:rFonts w:ascii="Times New Roman" w:hAnsi="Times New Roman"/>
          <w:color w:val="222222"/>
          <w:sz w:val="24"/>
          <w:szCs w:val="24"/>
          <w:u w:color="222222"/>
        </w:rPr>
        <w:t xml:space="preserve">Released in response to stress, cortisol is typically tightly regulated by ACTH through the hypothalamic-pituitary-adrenal (HPA) axis and is a good reflection of neuroendocrine wellbeing (62). Unfortunately, 50% of CIRS patients with low MSH will experience loss of cortisol regulation (28). During the beginning stages of CIRS, simultaneous measures of ACTH and morning cortisol are often high with minimal symptoms (28). However, as CIRS progresses, ACTH and morning cortisol levels fall resulting in a marked increase in symptoms (28). </w:t>
      </w:r>
      <w:r w:rsidR="00B415F4">
        <w:rPr>
          <w:rStyle w:val="None"/>
          <w:rFonts w:ascii="Times New Roman" w:hAnsi="Times New Roman"/>
          <w:color w:val="222222"/>
          <w:sz w:val="24"/>
          <w:szCs w:val="24"/>
          <w:u w:color="222222"/>
        </w:rPr>
        <w:t>Decreased</w:t>
      </w:r>
      <w:r>
        <w:rPr>
          <w:rStyle w:val="None"/>
          <w:rFonts w:ascii="Times New Roman" w:hAnsi="Times New Roman"/>
          <w:color w:val="222222"/>
          <w:sz w:val="24"/>
          <w:szCs w:val="24"/>
          <w:u w:color="222222"/>
        </w:rPr>
        <w:t xml:space="preserve"> ACTH production due to hypothalamic leptin resistance results in altered sleep regulation (63).</w:t>
      </w:r>
      <w:r>
        <w:rPr>
          <w:rStyle w:val="None"/>
          <w:rFonts w:ascii="Times New Roman" w:hAnsi="Times New Roman"/>
          <w:sz w:val="24"/>
          <w:szCs w:val="24"/>
        </w:rPr>
        <w:t xml:space="preserve"> </w:t>
      </w:r>
    </w:p>
    <w:p w14:paraId="2F9C403B" w14:textId="77777777" w:rsidR="00185232" w:rsidRDefault="006074F5" w:rsidP="00466750">
      <w:pPr>
        <w:pStyle w:val="BodyA"/>
        <w:jc w:val="both"/>
      </w:pPr>
      <w:r>
        <w:rPr>
          <w:rStyle w:val="None"/>
          <w:rFonts w:ascii="Times New Roman" w:hAnsi="Times New Roman"/>
          <w:color w:val="222222"/>
          <w:sz w:val="24"/>
          <w:szCs w:val="24"/>
          <w:u w:color="222222"/>
        </w:rPr>
        <w:t xml:space="preserve">Androgen production is downregulated in 40-50% of CIRS patients (28). Additionally, in patients deficient in vasoactive intestinal peptide (VIP), estradiol levels may be elevated due to an overactive aromatase enzyme (28) which converts androgens (i.e. </w:t>
      </w:r>
      <w:r>
        <w:rPr>
          <w:rStyle w:val="None"/>
          <w:rFonts w:ascii="Times New Roman" w:hAnsi="Times New Roman"/>
          <w:i/>
          <w:iCs/>
          <w:sz w:val="24"/>
          <w:szCs w:val="24"/>
          <w:shd w:val="clear" w:color="auto" w:fill="FFFFFF"/>
          <w:lang w:val="nl-NL"/>
        </w:rPr>
        <w:t>dehydroepiandrosterone</w:t>
      </w:r>
      <w:r>
        <w:rPr>
          <w:rStyle w:val="None"/>
          <w:rFonts w:ascii="Times New Roman" w:hAnsi="Times New Roman"/>
          <w:sz w:val="24"/>
          <w:szCs w:val="24"/>
          <w:shd w:val="clear" w:color="auto" w:fill="FFFFFF"/>
        </w:rPr>
        <w:t> (</w:t>
      </w:r>
      <w:r>
        <w:rPr>
          <w:rStyle w:val="None"/>
          <w:rFonts w:ascii="Times New Roman" w:hAnsi="Times New Roman"/>
          <w:i/>
          <w:iCs/>
          <w:sz w:val="24"/>
          <w:szCs w:val="24"/>
          <w:shd w:val="clear" w:color="auto" w:fill="FFFFFF"/>
          <w:lang w:val="de-DE"/>
        </w:rPr>
        <w:t>DHEA</w:t>
      </w:r>
      <w:r>
        <w:rPr>
          <w:rStyle w:val="None"/>
          <w:rFonts w:ascii="Times New Roman" w:hAnsi="Times New Roman"/>
          <w:sz w:val="24"/>
          <w:szCs w:val="24"/>
          <w:shd w:val="clear" w:color="auto" w:fill="FFFFFF"/>
        </w:rPr>
        <w:t>)</w:t>
      </w:r>
      <w:r>
        <w:rPr>
          <w:rStyle w:val="None"/>
          <w:rFonts w:ascii="Times New Roman" w:hAnsi="Times New Roman"/>
          <w:sz w:val="24"/>
          <w:szCs w:val="24"/>
        </w:rPr>
        <w:t xml:space="preserve">, </w:t>
      </w:r>
      <w:r>
        <w:rPr>
          <w:rStyle w:val="None"/>
          <w:rFonts w:ascii="Times New Roman" w:hAnsi="Times New Roman"/>
          <w:color w:val="222222"/>
          <w:sz w:val="24"/>
          <w:szCs w:val="24"/>
          <w:u w:color="222222"/>
          <w:lang w:val="it-IT"/>
        </w:rPr>
        <w:t>androstenedione, testosterone) into estrogens (i.e. estrone, estradiol) (64).</w:t>
      </w:r>
      <w:r>
        <w:rPr>
          <w:rStyle w:val="None"/>
          <w:rFonts w:ascii="Times New Roman" w:hAnsi="Times New Roman"/>
          <w:sz w:val="24"/>
          <w:szCs w:val="24"/>
        </w:rPr>
        <w:t xml:space="preserve"> </w:t>
      </w:r>
    </w:p>
    <w:p w14:paraId="1858E55D" w14:textId="77777777" w:rsidR="00185232" w:rsidRDefault="006074F5" w:rsidP="00466750">
      <w:pPr>
        <w:pStyle w:val="BodyA"/>
        <w:jc w:val="both"/>
      </w:pPr>
      <w:r>
        <w:rPr>
          <w:rStyle w:val="None"/>
          <w:rFonts w:ascii="Times New Roman" w:hAnsi="Times New Roman"/>
          <w:color w:val="222222"/>
          <w:sz w:val="24"/>
          <w:szCs w:val="24"/>
          <w:u w:color="222222"/>
        </w:rPr>
        <w:t>Antidiuretic hormone (ADH) is secreted by the posterior pituitary and is involved in regulation of sodium and water balance (65). The hypothalamus responds to the concentration of solute (i.e. serum osmolality) in the blood through osmoreceptors (65). If the serum osmolality is too high, the hypothalamus signals to the pituitary to secrete ADH into the bloodstream (65).</w:t>
      </w:r>
      <w:r>
        <w:rPr>
          <w:rStyle w:val="None"/>
          <w:rFonts w:ascii="Times New Roman" w:hAnsi="Times New Roman"/>
          <w:sz w:val="24"/>
          <w:szCs w:val="24"/>
        </w:rPr>
        <w:t xml:space="preserve"> </w:t>
      </w:r>
      <w:r>
        <w:rPr>
          <w:rStyle w:val="None"/>
          <w:rFonts w:ascii="Times New Roman" w:hAnsi="Times New Roman"/>
          <w:color w:val="222222"/>
          <w:sz w:val="24"/>
          <w:szCs w:val="24"/>
          <w:u w:color="222222"/>
        </w:rPr>
        <w:t xml:space="preserve">ADH subsequently induces the kidneys to reabsorb free water, thus diluting the blood (65). Approximately 60% of CIRS patients will have dysregulation of ADH/serum osmolality levels (28). Resultant symptoms include static electrical shocks, migraine-like headaches, excessive thirst with frequent urination, and dehydration (28). </w:t>
      </w:r>
    </w:p>
    <w:p w14:paraId="2563D0AB" w14:textId="77777777" w:rsidR="00185232" w:rsidRDefault="006074F5" w:rsidP="00466750">
      <w:pPr>
        <w:pStyle w:val="BodyA"/>
        <w:jc w:val="both"/>
      </w:pPr>
      <w:r>
        <w:rPr>
          <w:rStyle w:val="None"/>
          <w:rFonts w:ascii="Times New Roman" w:hAnsi="Times New Roman"/>
          <w:color w:val="222222"/>
          <w:sz w:val="24"/>
          <w:szCs w:val="24"/>
          <w:u w:color="222222"/>
          <w:shd w:val="clear" w:color="auto" w:fill="FFFFFF"/>
        </w:rPr>
        <w:t>VIP is a neuroregulatory peptide hormone produced in the hypothalamus that is often diminished in CIRS (14).  VIP deficiency can lead to shortness of breath with exercise (28), and pulmonary hypertension (66) that is reversible with exogenous administration of VIP (67). Lastly, VIP can downregulate cytokines (56), making it invaluable to the CIRS treatment protocol for refractory patients.</w:t>
      </w:r>
      <w:r>
        <w:rPr>
          <w:rStyle w:val="None"/>
          <w:rFonts w:ascii="Times New Roman" w:hAnsi="Times New Roman"/>
          <w:color w:val="222222"/>
          <w:sz w:val="24"/>
          <w:szCs w:val="24"/>
          <w:u w:color="222222"/>
        </w:rPr>
        <w:t> </w:t>
      </w:r>
    </w:p>
    <w:p w14:paraId="4C2D1870" w14:textId="77777777" w:rsidR="00A43A95" w:rsidRDefault="00A43A95" w:rsidP="00466750">
      <w:pPr>
        <w:pStyle w:val="BodyA"/>
        <w:jc w:val="both"/>
        <w:sectPr w:rsidR="00A43A95" w:rsidSect="00A43A95">
          <w:type w:val="continuous"/>
          <w:pgSz w:w="12240" w:h="15840"/>
          <w:pgMar w:top="1260" w:right="1440" w:bottom="1440" w:left="1440" w:header="720" w:footer="576" w:gutter="0"/>
          <w:cols w:num="2" w:space="720"/>
          <w:titlePg/>
          <w:docGrid w:linePitch="326"/>
        </w:sectPr>
      </w:pPr>
    </w:p>
    <w:p w14:paraId="0148E639" w14:textId="7507ED72" w:rsidR="00185232" w:rsidRDefault="00185232" w:rsidP="00466750">
      <w:pPr>
        <w:pStyle w:val="BodyA"/>
        <w:jc w:val="both"/>
      </w:pPr>
    </w:p>
    <w:p w14:paraId="5D333D29"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11BE42B6"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4B11FA69"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0BC07420"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7133AB44"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663E4005"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7D2AE471"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718AC114"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731E0A2F"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627998E5"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6DEB71B7"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7C76623A"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64A348DF" w14:textId="77777777" w:rsidR="00A43A95" w:rsidRDefault="00A43A95" w:rsidP="00466750">
      <w:pPr>
        <w:pStyle w:val="Default"/>
        <w:jc w:val="both"/>
        <w:rPr>
          <w:rStyle w:val="None"/>
          <w:rFonts w:ascii="Times New Roman" w:hAnsi="Times New Roman"/>
          <w:b/>
          <w:color w:val="212121"/>
          <w:sz w:val="28"/>
          <w:szCs w:val="28"/>
          <w:u w:color="212121"/>
          <w:shd w:val="clear" w:color="auto" w:fill="FFFFFF"/>
        </w:rPr>
      </w:pPr>
    </w:p>
    <w:p w14:paraId="07DEAF2E" w14:textId="2ED64F82" w:rsidR="00185232" w:rsidRPr="003F019A" w:rsidRDefault="004B31C3" w:rsidP="00466750">
      <w:pPr>
        <w:pStyle w:val="Default"/>
        <w:jc w:val="both"/>
        <w:rPr>
          <w:b/>
          <w:sz w:val="28"/>
          <w:szCs w:val="28"/>
        </w:rPr>
      </w:pPr>
      <w:r>
        <w:rPr>
          <w:rStyle w:val="None"/>
          <w:rFonts w:ascii="Times New Roman" w:hAnsi="Times New Roman"/>
          <w:b/>
          <w:color w:val="212121"/>
          <w:sz w:val="28"/>
          <w:szCs w:val="28"/>
          <w:u w:color="212121"/>
          <w:shd w:val="clear" w:color="auto" w:fill="FFFFFF"/>
        </w:rPr>
        <w:t>References: Sections 1-6</w:t>
      </w:r>
    </w:p>
    <w:p w14:paraId="04F33827" w14:textId="77777777" w:rsidR="00185232" w:rsidRDefault="00185232" w:rsidP="00466750">
      <w:pPr>
        <w:pStyle w:val="Default"/>
        <w:jc w:val="both"/>
      </w:pPr>
    </w:p>
    <w:p w14:paraId="238E8FE8" w14:textId="77777777" w:rsidR="00466750" w:rsidRDefault="00466750" w:rsidP="00466750">
      <w:pPr>
        <w:pStyle w:val="BodyA"/>
        <w:numPr>
          <w:ilvl w:val="0"/>
          <w:numId w:val="12"/>
        </w:numPr>
        <w:spacing w:after="0" w:line="276" w:lineRule="auto"/>
        <w:jc w:val="both"/>
        <w:rPr>
          <w:rFonts w:ascii="Times New Roman" w:hAnsi="Times New Roman"/>
          <w:sz w:val="24"/>
          <w:szCs w:val="24"/>
        </w:rPr>
        <w:sectPr w:rsidR="00466750" w:rsidSect="00A43A95">
          <w:type w:val="continuous"/>
          <w:pgSz w:w="12240" w:h="15840"/>
          <w:pgMar w:top="1260" w:right="1440" w:bottom="1440" w:left="1440" w:header="576" w:footer="576" w:gutter="0"/>
          <w:cols w:space="720"/>
          <w:titlePg/>
          <w:docGrid w:linePitch="326"/>
        </w:sectPr>
      </w:pPr>
    </w:p>
    <w:p w14:paraId="79F2CEAC" w14:textId="3E92DF55" w:rsidR="001E508E" w:rsidRPr="000B7580" w:rsidRDefault="001E508E" w:rsidP="00466750">
      <w:pPr>
        <w:pStyle w:val="BodyA"/>
        <w:numPr>
          <w:ilvl w:val="0"/>
          <w:numId w:val="12"/>
        </w:numPr>
        <w:spacing w:after="0" w:line="276" w:lineRule="auto"/>
        <w:jc w:val="both"/>
        <w:rPr>
          <w:rFonts w:ascii="Times New Roman" w:hAnsi="Times New Roman"/>
          <w:sz w:val="24"/>
          <w:szCs w:val="24"/>
        </w:rPr>
      </w:pPr>
      <w:r w:rsidRPr="000B7580">
        <w:rPr>
          <w:rFonts w:ascii="Times New Roman" w:hAnsi="Times New Roman"/>
          <w:sz w:val="24"/>
          <w:szCs w:val="24"/>
        </w:rPr>
        <w:t xml:space="preserve">Medically sound investigation and remediation of water-damaged buildings in cases of CIRS-WDB. Part 1. Berndtson K, McMahon S, Ackerley M, Rapaport S, Gupta S, Shoemaker R. 10/15. </w:t>
      </w:r>
      <w:hyperlink r:id="rId17" w:history="1">
        <w:r w:rsidRPr="000B7580">
          <w:rPr>
            <w:rStyle w:val="Hyperlink1"/>
            <w:rFonts w:ascii="Times New Roman" w:hAnsi="Times New Roman"/>
            <w:sz w:val="24"/>
            <w:szCs w:val="24"/>
          </w:rPr>
          <w:t>www.survivingmold.com</w:t>
        </w:r>
      </w:hyperlink>
      <w:r w:rsidRPr="000B7580">
        <w:rPr>
          <w:rFonts w:ascii="Times New Roman" w:hAnsi="Times New Roman"/>
          <w:sz w:val="24"/>
          <w:szCs w:val="24"/>
        </w:rPr>
        <w:t>. Accessed 7/23/2017.</w:t>
      </w:r>
    </w:p>
    <w:p w14:paraId="1567D343" w14:textId="77777777" w:rsidR="001E508E" w:rsidRPr="001E508E" w:rsidRDefault="001E508E" w:rsidP="00466750">
      <w:pPr>
        <w:pStyle w:val="BodyA"/>
        <w:numPr>
          <w:ilvl w:val="0"/>
          <w:numId w:val="12"/>
        </w:numPr>
        <w:spacing w:after="0" w:line="276" w:lineRule="auto"/>
        <w:jc w:val="both"/>
        <w:rPr>
          <w:rFonts w:ascii="Times New Roman" w:hAnsi="Times New Roman"/>
          <w:sz w:val="24"/>
          <w:szCs w:val="24"/>
        </w:rPr>
      </w:pPr>
      <w:r w:rsidRPr="001E508E">
        <w:rPr>
          <w:rFonts w:ascii="Times New Roman" w:hAnsi="Times New Roman"/>
          <w:sz w:val="24"/>
          <w:szCs w:val="24"/>
        </w:rPr>
        <w:t>Shoemaker R, House D, Ryan J. Defining the neurotoxin derived illness chronic ciguatera using markers of chronic systemic inflammatory disturbances: A case/control study. Neurotoxicol Teratol 2010</w:t>
      </w:r>
      <w:r w:rsidRPr="004B31C3">
        <w:rPr>
          <w:rFonts w:ascii="Times New Roman" w:hAnsi="Times New Roman"/>
          <w:sz w:val="24"/>
          <w:szCs w:val="24"/>
        </w:rPr>
        <w:t xml:space="preserve">; </w:t>
      </w:r>
      <w:r w:rsidRPr="004B31C3">
        <w:rPr>
          <w:rStyle w:val="None"/>
          <w:rFonts w:ascii="Times New Roman" w:hAnsi="Times New Roman"/>
          <w:sz w:val="24"/>
          <w:szCs w:val="24"/>
        </w:rPr>
        <w:t>32(6):633-9</w:t>
      </w:r>
      <w:r w:rsidRPr="001E508E">
        <w:rPr>
          <w:rFonts w:ascii="Times New Roman" w:hAnsi="Times New Roman"/>
          <w:sz w:val="24"/>
          <w:szCs w:val="24"/>
        </w:rPr>
        <w:t xml:space="preserve">. </w:t>
      </w:r>
    </w:p>
    <w:p w14:paraId="5FAF0B4C" w14:textId="77777777" w:rsidR="001E508E" w:rsidRDefault="001E508E" w:rsidP="00466750">
      <w:pPr>
        <w:pStyle w:val="BodyA"/>
        <w:numPr>
          <w:ilvl w:val="0"/>
          <w:numId w:val="12"/>
        </w:numPr>
        <w:spacing w:after="0" w:line="276" w:lineRule="auto"/>
        <w:jc w:val="both"/>
        <w:rPr>
          <w:rFonts w:ascii="Times New Roman" w:hAnsi="Times New Roman"/>
          <w:sz w:val="24"/>
          <w:szCs w:val="24"/>
        </w:rPr>
      </w:pPr>
      <w:r>
        <w:rPr>
          <w:rFonts w:ascii="Times New Roman" w:hAnsi="Times New Roman"/>
          <w:sz w:val="24"/>
          <w:szCs w:val="24"/>
        </w:rPr>
        <w:t>Shoemaker R, House, D, Ryan J.  Neurotoxicology and Teratology doi: 10.1016/j.ntt.2014.06.004. Structural brain abnormalities in patients with inflammatory illness acquired following exposure to water-damaged buildings: A volumetric MRI study using NeuroQuant.</w:t>
      </w:r>
    </w:p>
    <w:p w14:paraId="5252A784" w14:textId="77777777" w:rsidR="001E508E" w:rsidRDefault="001E508E" w:rsidP="00466750">
      <w:pPr>
        <w:pStyle w:val="BodyA"/>
        <w:numPr>
          <w:ilvl w:val="0"/>
          <w:numId w:val="12"/>
        </w:numPr>
        <w:spacing w:after="0" w:line="276" w:lineRule="auto"/>
        <w:jc w:val="both"/>
        <w:rPr>
          <w:rFonts w:ascii="Times New Roman" w:hAnsi="Times New Roman"/>
          <w:sz w:val="24"/>
          <w:szCs w:val="24"/>
        </w:rPr>
      </w:pPr>
      <w:r>
        <w:rPr>
          <w:rFonts w:ascii="Times New Roman" w:hAnsi="Times New Roman"/>
          <w:sz w:val="24"/>
          <w:szCs w:val="24"/>
        </w:rPr>
        <w:t>Shoemaker R, House D. Characterization of chronic human illness associated with exposure to cyanobacterial harmful algal blooms predominated by Microcystis, in Cyanobacterial Harmful Algal Blooms: State of the Science and Research Needs, edited by HK Hudnell, US EPA; ISOC HAB.  Advances in Experimental Medicine and Biology, Volume 619, 2/08.</w:t>
      </w:r>
    </w:p>
    <w:p w14:paraId="0D1B92CB" w14:textId="77777777" w:rsidR="001E508E" w:rsidRDefault="001E508E" w:rsidP="00466750">
      <w:pPr>
        <w:pStyle w:val="BodyA"/>
        <w:numPr>
          <w:ilvl w:val="0"/>
          <w:numId w:val="12"/>
        </w:numPr>
        <w:spacing w:after="0" w:line="276" w:lineRule="auto"/>
        <w:jc w:val="both"/>
        <w:rPr>
          <w:rFonts w:ascii="Times New Roman" w:hAnsi="Times New Roman"/>
          <w:sz w:val="24"/>
          <w:szCs w:val="24"/>
        </w:rPr>
      </w:pPr>
      <w:r>
        <w:rPr>
          <w:rFonts w:ascii="Times New Roman" w:hAnsi="Times New Roman"/>
          <w:sz w:val="24"/>
          <w:szCs w:val="24"/>
        </w:rPr>
        <w:t>Ryan, J, Shoemaker R. RNA-Seq on patients with chronic inflammatory response syndrome (CIRS) treated with vasoactive intestinal polypeptide (VIP) shows a shift in metabolic state and innate immune functions that coincide with healing. Med Res Arch 2016; 4(7): 1-11.</w:t>
      </w:r>
    </w:p>
    <w:p w14:paraId="2D04A6C6" w14:textId="77777777" w:rsidR="001E508E" w:rsidRDefault="001E508E" w:rsidP="00466750">
      <w:pPr>
        <w:pStyle w:val="BodyA"/>
        <w:numPr>
          <w:ilvl w:val="0"/>
          <w:numId w:val="12"/>
        </w:numPr>
        <w:spacing w:after="0" w:line="276" w:lineRule="auto"/>
        <w:jc w:val="both"/>
        <w:rPr>
          <w:rFonts w:ascii="Times New Roman" w:hAnsi="Times New Roman"/>
          <w:sz w:val="24"/>
          <w:szCs w:val="24"/>
        </w:rPr>
      </w:pPr>
      <w:r>
        <w:rPr>
          <w:rFonts w:ascii="Times New Roman" w:hAnsi="Times New Roman"/>
          <w:sz w:val="24"/>
          <w:szCs w:val="24"/>
        </w:rPr>
        <w:t>McMahon S, Shoemaker R, Ryan J. Reduction in Forebrain Parenchymal and Cortical Grey Matter Swelling across Treatment Groups in Patients with Inflammatory Illness Acquired Following Exposure to Water-Damaged Buildings. Journal of Neuroscience and Clinical Research 2016; 1: 1-4</w:t>
      </w:r>
    </w:p>
    <w:p w14:paraId="72A060C7" w14:textId="77777777" w:rsidR="00E560C4" w:rsidRDefault="00E560C4" w:rsidP="00466750">
      <w:pPr>
        <w:pStyle w:val="BodyA"/>
        <w:numPr>
          <w:ilvl w:val="0"/>
          <w:numId w:val="12"/>
        </w:numPr>
        <w:spacing w:after="0" w:line="276" w:lineRule="auto"/>
        <w:jc w:val="both"/>
        <w:rPr>
          <w:rFonts w:ascii="Times New Roman" w:hAnsi="Times New Roman"/>
          <w:sz w:val="24"/>
          <w:szCs w:val="24"/>
        </w:rPr>
      </w:pPr>
      <w:r>
        <w:rPr>
          <w:rFonts w:ascii="Times New Roman" w:hAnsi="Times New Roman"/>
          <w:sz w:val="24"/>
          <w:szCs w:val="24"/>
        </w:rPr>
        <w:t xml:space="preserve">Shoemaker R, House D, Ryan J. Vasoactive intestinal polypeptide (VIP) corrects chronic inflammatory response syndrome (CIRS) acquired following exposure to water-damaged buildings. Health 2013; 5(3): 396-401. </w:t>
      </w:r>
    </w:p>
    <w:p w14:paraId="43265DB7" w14:textId="77777777" w:rsidR="001E508E" w:rsidRDefault="001E508E" w:rsidP="00466750">
      <w:pPr>
        <w:pStyle w:val="BodyA"/>
        <w:numPr>
          <w:ilvl w:val="0"/>
          <w:numId w:val="12"/>
        </w:numPr>
        <w:spacing w:after="0" w:line="276" w:lineRule="auto"/>
        <w:jc w:val="both"/>
        <w:rPr>
          <w:rFonts w:ascii="Times New Roman" w:hAnsi="Times New Roman"/>
          <w:sz w:val="24"/>
          <w:szCs w:val="24"/>
        </w:rPr>
      </w:pPr>
      <w:r>
        <w:rPr>
          <w:rFonts w:ascii="Times New Roman" w:hAnsi="Times New Roman"/>
          <w:sz w:val="24"/>
          <w:szCs w:val="24"/>
        </w:rPr>
        <w:t>Shoemaker R, Katz D, Ackerley M, Rapaport S, McMahon S, Berndtson K, Ryan J. Intranasal VIP safely restores atrophic grey matter nuclei in patients with CIRS. Internal Medicine Review 2017; 3(4): 1-14.</w:t>
      </w:r>
    </w:p>
    <w:p w14:paraId="2F1D53EF" w14:textId="77777777" w:rsidR="00E560C4" w:rsidRPr="007F1C85" w:rsidRDefault="001A6018" w:rsidP="00466750">
      <w:pPr>
        <w:pStyle w:val="BodyA"/>
        <w:numPr>
          <w:ilvl w:val="0"/>
          <w:numId w:val="12"/>
        </w:numPr>
        <w:spacing w:after="0" w:line="276" w:lineRule="auto"/>
        <w:jc w:val="both"/>
        <w:rPr>
          <w:rFonts w:ascii="Times New Roman" w:hAnsi="Times New Roman" w:cs="Times New Roman"/>
          <w:b/>
          <w:sz w:val="28"/>
          <w:szCs w:val="28"/>
        </w:rPr>
      </w:pPr>
      <w:hyperlink r:id="rId18" w:history="1">
        <w:r w:rsidR="00E560C4" w:rsidRPr="007F1C85">
          <w:rPr>
            <w:rStyle w:val="Hyperlink4"/>
            <w:rFonts w:ascii="Times New Roman" w:hAnsi="Times New Roman"/>
            <w:sz w:val="24"/>
            <w:szCs w:val="24"/>
          </w:rPr>
          <w:t>Ryan</w:t>
        </w:r>
      </w:hyperlink>
      <w:r w:rsidR="00E560C4" w:rsidRPr="007F1C85">
        <w:rPr>
          <w:rStyle w:val="Hyperlink4"/>
          <w:rFonts w:ascii="Times New Roman" w:hAnsi="Times New Roman"/>
          <w:sz w:val="24"/>
          <w:szCs w:val="24"/>
        </w:rPr>
        <w:t xml:space="preserve"> J, </w:t>
      </w:r>
      <w:hyperlink r:id="rId19" w:history="1">
        <w:r w:rsidR="00E560C4" w:rsidRPr="007F1C85">
          <w:rPr>
            <w:rStyle w:val="Hyperlink5"/>
            <w:rFonts w:ascii="Times New Roman" w:hAnsi="Times New Roman"/>
            <w:sz w:val="24"/>
            <w:szCs w:val="24"/>
          </w:rPr>
          <w:t>Wu Q</w:t>
        </w:r>
      </w:hyperlink>
      <w:r w:rsidR="00E560C4" w:rsidRPr="007F1C85">
        <w:rPr>
          <w:rStyle w:val="Hyperlink4"/>
          <w:rFonts w:ascii="Times New Roman" w:hAnsi="Times New Roman"/>
          <w:sz w:val="24"/>
          <w:szCs w:val="24"/>
        </w:rPr>
        <w:t xml:space="preserve">, </w:t>
      </w:r>
      <w:hyperlink r:id="rId20" w:history="1">
        <w:r w:rsidR="00E560C4" w:rsidRPr="007F1C85">
          <w:rPr>
            <w:rStyle w:val="Hyperlink6"/>
            <w:rFonts w:ascii="Times New Roman" w:hAnsi="Times New Roman"/>
            <w:sz w:val="24"/>
            <w:szCs w:val="24"/>
          </w:rPr>
          <w:t>Shoemaker</w:t>
        </w:r>
      </w:hyperlink>
      <w:r w:rsidR="00E560C4" w:rsidRPr="007F1C85">
        <w:rPr>
          <w:rStyle w:val="Hyperlink4"/>
          <w:rFonts w:ascii="Times New Roman" w:hAnsi="Times New Roman"/>
          <w:sz w:val="24"/>
          <w:szCs w:val="24"/>
        </w:rPr>
        <w:t xml:space="preserve"> R. Transcriptomic signatures in whole blood of patients who acquire a chronic inflammatory response syndrome (CIRS) following an exposure to the marine toxin ciguatoxin. BMC Med Genomics 2015; 8, 2015.</w:t>
      </w:r>
    </w:p>
    <w:p w14:paraId="49E3EE1E" w14:textId="77777777" w:rsidR="00A27EA8" w:rsidRPr="00067BCA" w:rsidRDefault="00A27EA8" w:rsidP="0046675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Times New Roman" w:hAnsi="Times New Roman" w:cs="Times New Roman"/>
          <w:sz w:val="24"/>
          <w:szCs w:val="24"/>
        </w:rPr>
      </w:pPr>
      <w:r w:rsidRPr="00067BCA">
        <w:rPr>
          <w:rFonts w:ascii="Times New Roman" w:hAnsi="Times New Roman" w:cs="Times New Roman"/>
          <w:sz w:val="24"/>
          <w:szCs w:val="24"/>
        </w:rPr>
        <w:t>Shoemaker R. Possible Estuary-Associated Syndrome, Environmental Health Perspectives 2001; 109(5): 539-545. Grand Rounds in Environmental Medicine.</w:t>
      </w:r>
    </w:p>
    <w:p w14:paraId="4832C1ED" w14:textId="77777777" w:rsidR="00A27EA8" w:rsidRDefault="00A27EA8" w:rsidP="0046675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Times New Roman" w:hAnsi="Times New Roman" w:cs="Times New Roman"/>
          <w:sz w:val="24"/>
          <w:szCs w:val="24"/>
        </w:rPr>
      </w:pPr>
      <w:r w:rsidRPr="00067BCA">
        <w:rPr>
          <w:rFonts w:ascii="Times New Roman" w:hAnsi="Times New Roman" w:cs="Times New Roman"/>
          <w:sz w:val="24"/>
          <w:szCs w:val="24"/>
        </w:rPr>
        <w:t xml:space="preserve">Shoemaker R. Residential and Recreational Acquisition of Possible Estuarine Associated Syndrome:  A New approach to Successful Diagnosis and Therapy, Environmental Health Perspectives, Special CDC </w:t>
      </w:r>
      <w:r w:rsidRPr="00067BCA">
        <w:rPr>
          <w:rFonts w:ascii="Times New Roman" w:hAnsi="Times New Roman" w:cs="Times New Roman"/>
          <w:i/>
          <w:iCs/>
          <w:sz w:val="24"/>
          <w:szCs w:val="24"/>
        </w:rPr>
        <w:t xml:space="preserve">Pfiesteria </w:t>
      </w:r>
      <w:r w:rsidRPr="00067BCA">
        <w:rPr>
          <w:rFonts w:ascii="Times New Roman" w:hAnsi="Times New Roman" w:cs="Times New Roman"/>
          <w:sz w:val="24"/>
          <w:szCs w:val="24"/>
        </w:rPr>
        <w:t>Supplement, 2001; 109S5; 791-796.</w:t>
      </w:r>
    </w:p>
    <w:p w14:paraId="63681772" w14:textId="77777777" w:rsidR="00A27EA8" w:rsidRPr="00067BCA" w:rsidRDefault="00A27EA8" w:rsidP="0046675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Times New Roman" w:hAnsi="Times New Roman" w:cs="Times New Roman"/>
          <w:sz w:val="24"/>
          <w:szCs w:val="24"/>
        </w:rPr>
      </w:pPr>
      <w:r w:rsidRPr="00067BCA">
        <w:rPr>
          <w:rFonts w:ascii="Times New Roman" w:hAnsi="Times New Roman"/>
          <w:sz w:val="24"/>
          <w:szCs w:val="24"/>
        </w:rPr>
        <w:t>Thomas L. NEJM 1972; 287(11): 553-555. Notes of a biology-watcher. Germs.</w:t>
      </w:r>
    </w:p>
    <w:p w14:paraId="46F55FD1" w14:textId="77777777" w:rsidR="006E487F" w:rsidRDefault="006E487F" w:rsidP="0046675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Griffith D, Lewis S, Rossi A. Rennie J, Salisbury L, Merriweather J, Templeton K, Walsh T, RECOVER Investigators. Systemic inflammation after critical illness: relationship with physical recovery and exploration of potential mechanisms. Thorax 2016; 71: 820-9.</w:t>
      </w:r>
    </w:p>
    <w:p w14:paraId="4E69A360" w14:textId="77777777" w:rsidR="006E487F" w:rsidRDefault="006E487F" w:rsidP="0046675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Grander W, Dunser M, Stollenwerk B. Siebert U, Dengg C, Koller B, Eller P, Tilg H. C-reactive protein levels and post-ICU mortality in nonsurgical intensive care patients. Chest 2010; 138: 856-62.</w:t>
      </w:r>
    </w:p>
    <w:p w14:paraId="3F95A1DA" w14:textId="346C54BF" w:rsidR="006D74F4" w:rsidRDefault="006D74F4" w:rsidP="0046675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t>Shoemaker R, Mark L, McMahon S, Thrasher J, Grimes C. 2010. Policyholders of America.  Research Committee Report on diagnosis and treatment of chronic inflammatory response syndrome caused by exposure to the interior environment of water-damaged buildings.</w:t>
      </w:r>
    </w:p>
    <w:p w14:paraId="3AFBEF4A" w14:textId="62095E88" w:rsidR="006D74F4" w:rsidRPr="006D74F4" w:rsidRDefault="006D74F4" w:rsidP="0046675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t xml:space="preserve">Shoemaker R, Ryan J. Ebook. 3/1/2018. A Gene Primer for Health Care Providers: The </w:t>
      </w:r>
      <w:r w:rsidR="00EC5D61">
        <w:t>G</w:t>
      </w:r>
      <w:r>
        <w:t xml:space="preserve">enomics of CIRS and Associated Molecular Pathways: Interpreting the Transcriptomics Results. </w:t>
      </w:r>
    </w:p>
    <w:p w14:paraId="01BDEBBD" w14:textId="7634D1F8" w:rsidR="00185232" w:rsidRPr="00A27EA8" w:rsidRDefault="006074F5" w:rsidP="0046675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Times New Roman" w:hAnsi="Times New Roman"/>
          <w:sz w:val="24"/>
          <w:szCs w:val="24"/>
        </w:rPr>
      </w:pPr>
      <w:r w:rsidRPr="00A27EA8">
        <w:rPr>
          <w:rFonts w:ascii="Times New Roman" w:hAnsi="Times New Roman"/>
          <w:sz w:val="24"/>
          <w:szCs w:val="24"/>
        </w:rPr>
        <w:t>Naviaux R, Naviaux J, Li K, Bright T, Alaynick W, Wang L, Baxter A, Nathan N, Anderson W, Gordon E. Metabolic features of chronic fatigue syndrome. PNAS Early Edition 2017; doi/10.1073/PNAS. 1607571113.</w:t>
      </w:r>
    </w:p>
    <w:p w14:paraId="4D3B8B3B" w14:textId="3F1DE7B1" w:rsidR="004B31C3" w:rsidRDefault="00E83645" w:rsidP="00466750">
      <w:pPr>
        <w:pStyle w:val="BodyA"/>
        <w:numPr>
          <w:ilvl w:val="0"/>
          <w:numId w:val="12"/>
        </w:numPr>
        <w:spacing w:after="0" w:line="276" w:lineRule="auto"/>
        <w:jc w:val="both"/>
        <w:rPr>
          <w:rFonts w:ascii="Times New Roman" w:hAnsi="Times New Roman"/>
          <w:sz w:val="24"/>
          <w:szCs w:val="24"/>
        </w:rPr>
      </w:pPr>
      <w:r>
        <w:rPr>
          <w:rFonts w:ascii="Times New Roman" w:hAnsi="Times New Roman"/>
          <w:sz w:val="24"/>
          <w:szCs w:val="24"/>
        </w:rPr>
        <w:t>Cho</w:t>
      </w:r>
      <w:r w:rsidR="004E0233">
        <w:rPr>
          <w:rFonts w:ascii="Times New Roman" w:hAnsi="Times New Roman"/>
          <w:sz w:val="24"/>
          <w:szCs w:val="24"/>
        </w:rPr>
        <w:t xml:space="preserve"> S-C, Seo S-C, Schmechel D, Grinshpun S, Reponen T. Aerodynamic characteristics and respiratory deposition of fungal fragments. Atmos Env 2005; 39:5454-5465.</w:t>
      </w:r>
    </w:p>
    <w:p w14:paraId="35FEE67C" w14:textId="1A991F89" w:rsidR="004B31C3" w:rsidRPr="000B7580" w:rsidRDefault="00F01F65" w:rsidP="00466750">
      <w:pPr>
        <w:pStyle w:val="BodyA"/>
        <w:numPr>
          <w:ilvl w:val="0"/>
          <w:numId w:val="12"/>
        </w:numPr>
        <w:spacing w:after="0" w:line="276" w:lineRule="auto"/>
        <w:jc w:val="both"/>
        <w:rPr>
          <w:rFonts w:ascii="Times New Roman" w:hAnsi="Times New Roman" w:cs="Times New Roman"/>
          <w:sz w:val="24"/>
          <w:szCs w:val="24"/>
        </w:rPr>
      </w:pPr>
      <w:r w:rsidRPr="000B7580">
        <w:rPr>
          <w:rFonts w:ascii="Times New Roman" w:hAnsi="Times New Roman" w:cs="Times New Roman"/>
          <w:sz w:val="24"/>
          <w:szCs w:val="24"/>
          <w:lang w:val="en-AU"/>
        </w:rPr>
        <w:t>Shoemaker, RC and Lark, D - 2016, HERTSMI-2 and ERMI: “Correlating Human Health Risk with Mold Specific qPCR in Water-Damaged Buildings”, #658 in Proceedings of the 14th International Conference on Indoor Air Quality and Climate, International Society for Indoor Air Quality and Climate, Ghent, Belgium.</w:t>
      </w:r>
    </w:p>
    <w:p w14:paraId="7B7B587E" w14:textId="4C79AA71" w:rsidR="004B31C3" w:rsidRPr="000B7580" w:rsidRDefault="00F01F65" w:rsidP="00466750">
      <w:pPr>
        <w:pStyle w:val="BodyA"/>
        <w:numPr>
          <w:ilvl w:val="0"/>
          <w:numId w:val="12"/>
        </w:numPr>
        <w:spacing w:after="0" w:line="276" w:lineRule="auto"/>
        <w:jc w:val="both"/>
        <w:rPr>
          <w:rFonts w:ascii="Times New Roman" w:hAnsi="Times New Roman" w:cs="Times New Roman"/>
          <w:sz w:val="24"/>
          <w:szCs w:val="24"/>
        </w:rPr>
      </w:pPr>
      <w:r w:rsidRPr="000B7580">
        <w:rPr>
          <w:rFonts w:ascii="Times New Roman" w:hAnsi="Times New Roman" w:cs="Times New Roman"/>
          <w:sz w:val="24"/>
          <w:szCs w:val="24"/>
        </w:rPr>
        <w:t>Shoemaker R, Lark D, Ryan J. Healthy Buildings Europe 2017. Exposure to buildings with elevated MSQPCR reduces health benefits from VIP treatment of CIRS-WDB.</w:t>
      </w:r>
    </w:p>
    <w:p w14:paraId="035F496D" w14:textId="005926C3" w:rsidR="00185232" w:rsidRDefault="006074F5" w:rsidP="00466750">
      <w:pPr>
        <w:pStyle w:val="BodyA"/>
        <w:numPr>
          <w:ilvl w:val="0"/>
          <w:numId w:val="12"/>
        </w:numPr>
        <w:spacing w:after="0" w:line="276" w:lineRule="auto"/>
        <w:jc w:val="both"/>
        <w:rPr>
          <w:rFonts w:ascii="Times New Roman" w:hAnsi="Times New Roman"/>
          <w:sz w:val="24"/>
          <w:szCs w:val="24"/>
        </w:rPr>
      </w:pPr>
      <w:r>
        <w:rPr>
          <w:rFonts w:ascii="Times New Roman" w:hAnsi="Times New Roman"/>
          <w:sz w:val="24"/>
          <w:szCs w:val="24"/>
        </w:rPr>
        <w:t>Petska J. Deoxynivalenol-induced pro-inflammatory gene expression: mechanism and pathological sequelae. Toxins 2010; 2: 1300-1307.</w:t>
      </w:r>
    </w:p>
    <w:p w14:paraId="392026A7" w14:textId="13536775" w:rsidR="007F1C85" w:rsidRPr="00A27EA8" w:rsidRDefault="006074F5" w:rsidP="0046675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ascii="Times New Roman" w:hAnsi="Times New Roman"/>
          <w:sz w:val="24"/>
          <w:szCs w:val="24"/>
        </w:rPr>
      </w:pPr>
      <w:r w:rsidRPr="00A27EA8">
        <w:rPr>
          <w:rFonts w:ascii="Times New Roman" w:hAnsi="Times New Roman"/>
          <w:sz w:val="24"/>
          <w:szCs w:val="24"/>
        </w:rPr>
        <w:t>Kawamoto M, Page E. Notes from the field: use of unvalidated urine mycotoxin tests for the clinical diagnosis of illness-US 2014. M</w:t>
      </w:r>
      <w:r w:rsidR="00A27EA8" w:rsidRPr="00A27EA8">
        <w:rPr>
          <w:rFonts w:ascii="Times New Roman" w:hAnsi="Times New Roman"/>
          <w:sz w:val="24"/>
          <w:szCs w:val="24"/>
        </w:rPr>
        <w:t xml:space="preserve"> </w:t>
      </w:r>
      <w:r w:rsidRPr="00A27EA8">
        <w:rPr>
          <w:rFonts w:ascii="Times New Roman" w:hAnsi="Times New Roman"/>
          <w:sz w:val="24"/>
          <w:szCs w:val="24"/>
        </w:rPr>
        <w:t>MWR 2015; 64(6): 157-158.</w:t>
      </w:r>
    </w:p>
    <w:p w14:paraId="2177B002" w14:textId="77777777" w:rsidR="007F1C85" w:rsidRDefault="007F1C85" w:rsidP="00466750">
      <w:pPr>
        <w:pStyle w:val="BodyA"/>
        <w:spacing w:after="0" w:line="276" w:lineRule="auto"/>
        <w:jc w:val="both"/>
        <w:rPr>
          <w:rFonts w:ascii="Times New Roman" w:hAnsi="Times New Roman" w:cs="Times New Roman"/>
          <w:b/>
          <w:sz w:val="28"/>
          <w:szCs w:val="28"/>
        </w:rPr>
      </w:pPr>
    </w:p>
    <w:p w14:paraId="6854EC2C" w14:textId="77777777" w:rsidR="002C487C" w:rsidRDefault="002C487C" w:rsidP="00466750">
      <w:pPr>
        <w:pStyle w:val="BodyA"/>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References: WDB</w:t>
      </w:r>
    </w:p>
    <w:p w14:paraId="1CF54FEB" w14:textId="77777777" w:rsidR="002C487C" w:rsidRPr="007F1C85"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eastAsia="Calibri"/>
          <w:color w:val="000000"/>
          <w:u w:color="000000"/>
          <w:bdr w:val="none" w:sz="0" w:space="0" w:color="auto"/>
        </w:rPr>
      </w:pPr>
      <w:r w:rsidRPr="007F1C85">
        <w:rPr>
          <w:rFonts w:eastAsia="Calibri"/>
          <w:color w:val="000000"/>
          <w:u w:color="000000"/>
          <w:bdr w:val="none" w:sz="0" w:space="0" w:color="auto"/>
        </w:rPr>
        <w:t xml:space="preserve">Afshari A, Anderson HR, Cohen A, de Oliveira Fernandes E, Douwes J, Gorny R, Hirvonen M-R, Jaakola J, Levin H, Mendell M, Molhave L, Morwska L, Nevalainen A, Richardson M, Rudnai P, Schleibinger HW, Schwarze PE, Seifert B, Sigsgaard T, Song W, Spengler J, Szewzyk R, Panchatcharam S, Gallo G, Giersig M, Nolokke J, Cheung K, Mirer AG, Meyer HW, Roponen M. (2009). World Health Organization guidelines for indoor air quality: dampness and mould.  WHO guidelines for indoor air quality. </w:t>
      </w:r>
    </w:p>
    <w:p w14:paraId="0A07AE7C" w14:textId="77777777" w:rsidR="002C487C"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eastAsia="Calibri"/>
          <w:color w:val="000000"/>
          <w:u w:color="000000"/>
          <w:bdr w:val="none" w:sz="0" w:space="0" w:color="auto"/>
        </w:rPr>
      </w:pPr>
      <w:r w:rsidRPr="007F1C85">
        <w:rPr>
          <w:rFonts w:eastAsia="Calibri"/>
          <w:color w:val="000000"/>
          <w:u w:color="000000"/>
          <w:bdr w:val="none" w:sz="0" w:space="0" w:color="auto"/>
        </w:rPr>
        <w:t>Mendell MJ, Cozen M. (2002)</w:t>
      </w:r>
      <w:r>
        <w:rPr>
          <w:rFonts w:eastAsia="Calibri"/>
          <w:color w:val="000000"/>
          <w:u w:color="000000"/>
          <w:bdr w:val="none" w:sz="0" w:space="0" w:color="auto"/>
        </w:rPr>
        <w:t xml:space="preserve"> </w:t>
      </w:r>
      <w:r w:rsidRPr="007F1C85">
        <w:rPr>
          <w:rFonts w:eastAsia="Calibri"/>
          <w:color w:val="000000"/>
          <w:u w:color="000000"/>
          <w:bdr w:val="none" w:sz="0" w:space="0" w:color="auto"/>
        </w:rPr>
        <w:t>Building-related symptoms among workers and risk factors for moisture and contamination: Preliminary analyses of U.S. EPA BASE data. LBNL51567, Lawrence Berkeley National Laboratory.</w:t>
      </w:r>
    </w:p>
    <w:p w14:paraId="63BD82CB" w14:textId="77777777" w:rsidR="002C487C" w:rsidRPr="007F1C85"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eastAsia="Calibri"/>
          <w:color w:val="000000"/>
          <w:u w:color="000000"/>
          <w:bdr w:val="none" w:sz="0" w:space="0" w:color="auto"/>
        </w:rPr>
      </w:pPr>
      <w:r>
        <w:rPr>
          <w:rFonts w:eastAsia="Calibri"/>
          <w:color w:val="000000"/>
          <w:u w:color="000000"/>
          <w:bdr w:val="none" w:sz="0" w:space="0" w:color="auto"/>
        </w:rPr>
        <w:t>M</w:t>
      </w:r>
      <w:r w:rsidRPr="007F1C85">
        <w:rPr>
          <w:rFonts w:eastAsia="Calibri"/>
          <w:color w:val="000000"/>
          <w:u w:color="000000"/>
          <w:bdr w:val="none" w:sz="0" w:space="0" w:color="auto"/>
        </w:rPr>
        <w:t>endell, M. J. (2005). Indoor environments and occupants’ health: What do we know? Implementing Health-Protective Features and Practices in Buildings: Workshop Proceedings., Federal Facilities Council Technical Report #148.</w:t>
      </w:r>
    </w:p>
    <w:p w14:paraId="784F84FA" w14:textId="77777777" w:rsidR="002C487C" w:rsidRPr="007F1C85"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eastAsia="Calibri"/>
          <w:color w:val="000000"/>
          <w:u w:color="000000"/>
          <w:bdr w:val="none" w:sz="0" w:space="0" w:color="auto"/>
        </w:rPr>
      </w:pPr>
      <w:r w:rsidRPr="007F1C85">
        <w:rPr>
          <w:rFonts w:eastAsia="Calibri"/>
          <w:color w:val="000000"/>
          <w:u w:color="000000"/>
          <w:bdr w:val="none" w:sz="0" w:space="0" w:color="auto"/>
        </w:rPr>
        <w:t>OSHA (1970). OSH Act of 1970 Section 5(a)(1). U. D. o</w:t>
      </w:r>
      <w:r>
        <w:rPr>
          <w:rFonts w:eastAsia="Calibri"/>
          <w:color w:val="000000"/>
          <w:u w:color="000000"/>
          <w:bdr w:val="none" w:sz="0" w:space="0" w:color="auto"/>
        </w:rPr>
        <w:t>f</w:t>
      </w:r>
      <w:r w:rsidRPr="007F1C85">
        <w:rPr>
          <w:rFonts w:eastAsia="Calibri"/>
          <w:color w:val="000000"/>
          <w:u w:color="000000"/>
          <w:bdr w:val="none" w:sz="0" w:space="0" w:color="auto"/>
        </w:rPr>
        <w:t>. Labor. Washington DC. Park, J. H. and J. M. Cox-Ganser (2011). "Mold exposure and respiratory health in damp indoor environments." Front Biosci (Elite Ed)3: 757-771.</w:t>
      </w:r>
    </w:p>
    <w:p w14:paraId="1DAD65DB" w14:textId="77777777" w:rsidR="002C487C" w:rsidRPr="007F1C85"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eastAsia="Calibri"/>
          <w:color w:val="000000"/>
          <w:u w:color="000000"/>
          <w:bdr w:val="none" w:sz="0" w:space="0" w:color="auto"/>
        </w:rPr>
      </w:pPr>
      <w:r w:rsidRPr="007F1C85">
        <w:rPr>
          <w:rFonts w:eastAsia="Calibri"/>
          <w:color w:val="000000"/>
          <w:u w:color="000000"/>
          <w:bdr w:val="none" w:sz="0" w:space="0" w:color="auto"/>
        </w:rPr>
        <w:t xml:space="preserve">Mendell, M. J., W. J. Fisk, K. Kreiss, H. Levin, D. Alexander, W. S. Cain, J. R. Girman, C. J. Hines, P. A. Jensen, D. K. Milton, L. P. Rexroat and K. M. Wallingford (2002). "Improving the health of workers in indoor environments: priority research needs for a national occupational research agenda." Am J Public Health92(9): 1430-1440. </w:t>
      </w:r>
    </w:p>
    <w:p w14:paraId="20293FED" w14:textId="77777777" w:rsidR="002C487C" w:rsidRPr="006B4CF5"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eastAsia="Calibri"/>
          <w:color w:val="000000" w:themeColor="text1"/>
          <w:u w:color="000000"/>
        </w:rPr>
      </w:pPr>
      <w:r w:rsidRPr="007F1C85">
        <w:rPr>
          <w:rFonts w:eastAsia="Calibri"/>
          <w:color w:val="000000"/>
          <w:u w:color="000000"/>
          <w:bdr w:val="none" w:sz="0" w:space="0" w:color="auto"/>
        </w:rPr>
        <w:t>Clark, N., Ammann, H., Brennan, T., Brunekreef, B., Douwes, J., Eggleston, P., Fisk, W., Fullilove, R., Guernsey, J., Nevalainen, A., Essen, S. (2004). Damp Indoor Spaces and Health., The National Academies Press</w:t>
      </w:r>
      <w:r>
        <w:rPr>
          <w:rFonts w:eastAsia="Calibri"/>
          <w:color w:val="000000"/>
          <w:u w:color="000000"/>
          <w:bdr w:val="none" w:sz="0" w:space="0" w:color="auto"/>
        </w:rPr>
        <w:t xml:space="preserve"> </w:t>
      </w:r>
    </w:p>
    <w:p w14:paraId="698637DE" w14:textId="77777777" w:rsidR="002C487C" w:rsidRPr="002E79B9"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eastAsia="Calibri"/>
          <w:color w:val="000000" w:themeColor="text1"/>
          <w:u w:color="000000"/>
        </w:rPr>
      </w:pPr>
      <w:r w:rsidRPr="006B4CF5">
        <w:rPr>
          <w:rFonts w:eastAsia="Calibri"/>
          <w:color w:val="000000" w:themeColor="text1"/>
          <w:u w:color="000000"/>
          <w:shd w:val="clear" w:color="auto" w:fill="FFFFFF"/>
        </w:rPr>
        <w:t>Stephens, B., &amp; Siegel, J. A. (2013). Ultrafine particle removal by residential heating, ventilating, and air-conditioning filters. </w:t>
      </w:r>
      <w:r w:rsidRPr="006B4CF5">
        <w:rPr>
          <w:rFonts w:eastAsia="Calibri"/>
          <w:i/>
          <w:iCs/>
          <w:color w:val="000000" w:themeColor="text1"/>
          <w:u w:color="000000"/>
        </w:rPr>
        <w:t>Indoor Air,23</w:t>
      </w:r>
      <w:r w:rsidRPr="006B4CF5">
        <w:rPr>
          <w:rFonts w:eastAsia="Calibri"/>
          <w:color w:val="000000" w:themeColor="text1"/>
          <w:u w:color="000000"/>
          <w:shd w:val="clear" w:color="auto" w:fill="FFFFFF"/>
        </w:rPr>
        <w:t>(6), 488-497. doi:10.1111/ina.12045</w:t>
      </w:r>
    </w:p>
    <w:p w14:paraId="5D1A3882" w14:textId="77777777" w:rsidR="002C487C" w:rsidRPr="002E79B9"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eastAsia="Calibri"/>
          <w:color w:val="000000" w:themeColor="text1"/>
          <w:u w:color="000000"/>
        </w:rPr>
      </w:pPr>
      <w:r w:rsidRPr="002E79B9">
        <w:rPr>
          <w:color w:val="000000" w:themeColor="text1"/>
          <w:shd w:val="clear" w:color="auto" w:fill="FFFFFF"/>
        </w:rPr>
        <w:t>Whyte, William. </w:t>
      </w:r>
      <w:r w:rsidRPr="002E79B9">
        <w:rPr>
          <w:i/>
          <w:iCs/>
          <w:color w:val="000000" w:themeColor="text1"/>
        </w:rPr>
        <w:t>Cleanroom Technology: Fundamentals of Design, Testing and Operation</w:t>
      </w:r>
      <w:r>
        <w:rPr>
          <w:color w:val="000000" w:themeColor="text1"/>
          <w:shd w:val="clear" w:color="auto" w:fill="FFFFFF"/>
        </w:rPr>
        <w:t>. 2nd ed., (pp. 7 &amp; 26).</w:t>
      </w:r>
      <w:r w:rsidRPr="002E79B9">
        <w:rPr>
          <w:color w:val="000000" w:themeColor="text1"/>
          <w:shd w:val="clear" w:color="auto" w:fill="FFFFFF"/>
        </w:rPr>
        <w:t xml:space="preserve"> John Wiley &amp; Sons, 2010. </w:t>
      </w:r>
    </w:p>
    <w:p w14:paraId="51F6AC8A" w14:textId="77777777" w:rsidR="002C487C" w:rsidRPr="000D3425"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50" w:line="312" w:lineRule="atLeast"/>
        <w:jc w:val="both"/>
        <w:rPr>
          <w:color w:val="000000"/>
          <w:bdr w:val="none" w:sz="0" w:space="0" w:color="auto"/>
        </w:rPr>
      </w:pPr>
      <w:r w:rsidRPr="007F1C85">
        <w:rPr>
          <w:rFonts w:eastAsia="Calibri"/>
          <w:color w:val="333333"/>
          <w:u w:color="000000"/>
          <w:shd w:val="clear" w:color="auto" w:fill="FFFFFF"/>
        </w:rPr>
        <w:t>Pitt, J. I., &amp; Hocking, A. D. (2009). </w:t>
      </w:r>
      <w:r w:rsidRPr="007F1C85">
        <w:rPr>
          <w:rFonts w:eastAsia="Calibri"/>
          <w:i/>
          <w:iCs/>
          <w:color w:val="333333"/>
          <w:u w:color="000000"/>
        </w:rPr>
        <w:t>Fungi and food spoilage</w:t>
      </w:r>
      <w:r>
        <w:rPr>
          <w:rFonts w:eastAsia="Calibri"/>
          <w:i/>
          <w:iCs/>
          <w:color w:val="333333"/>
          <w:u w:color="000000"/>
        </w:rPr>
        <w:t xml:space="preserve"> </w:t>
      </w:r>
      <w:r w:rsidRPr="007F1C85">
        <w:rPr>
          <w:rFonts w:eastAsia="Calibri"/>
          <w:color w:val="333333"/>
          <w:u w:color="000000"/>
          <w:shd w:val="clear" w:color="auto" w:fill="FFFFFF"/>
        </w:rPr>
        <w:t>(3rd ed.). New York, NY: Springer. 3-4. doi:10.1007/978-0-387-92207-</w:t>
      </w:r>
      <w:r>
        <w:rPr>
          <w:rFonts w:eastAsia="Calibri"/>
          <w:color w:val="000000" w:themeColor="text1"/>
          <w:u w:color="000000"/>
        </w:rPr>
        <w:t>2</w:t>
      </w:r>
    </w:p>
    <w:p w14:paraId="7F4617C0" w14:textId="77777777" w:rsidR="002C487C" w:rsidRPr="000D3425"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eastAsia="Times New Roman"/>
          <w:color w:val="000000"/>
          <w:u w:color="000000"/>
          <w:bdr w:val="none" w:sz="0" w:space="0" w:color="auto"/>
        </w:rPr>
      </w:pPr>
      <w:r w:rsidRPr="000D3425">
        <w:rPr>
          <w:color w:val="000000"/>
          <w:bdr w:val="none" w:sz="0" w:space="0" w:color="auto"/>
        </w:rPr>
        <w:t>Macher, J., Ammann, H. M., &amp; American Conference of Governmental Industrial Hygienists. (1999). </w:t>
      </w:r>
      <w:r w:rsidRPr="000D3425">
        <w:rPr>
          <w:i/>
          <w:iCs/>
          <w:color w:val="000000"/>
          <w:bdr w:val="none" w:sz="0" w:space="0" w:color="auto"/>
        </w:rPr>
        <w:t>Bioaerosols: Assessment and control</w:t>
      </w:r>
      <w:r w:rsidRPr="000D3425">
        <w:rPr>
          <w:color w:val="000000"/>
          <w:bdr w:val="none" w:sz="0" w:space="0" w:color="auto"/>
        </w:rPr>
        <w:t>. (pp. 18-3, 19-5, 20-2). Cincinnati, Ohio: ACGIH.</w:t>
      </w:r>
    </w:p>
    <w:p w14:paraId="3F0A16FD" w14:textId="77777777" w:rsidR="002C487C" w:rsidRPr="0046662F" w:rsidRDefault="002C487C" w:rsidP="0046675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Style w:val="None"/>
          <w:b/>
        </w:rPr>
      </w:pPr>
      <w:r w:rsidRPr="0046662F">
        <w:rPr>
          <w:rFonts w:eastAsia="Times New Roman"/>
          <w:i/>
          <w:iCs/>
          <w:color w:val="333333"/>
          <w:u w:color="000000"/>
          <w:bdr w:val="none" w:sz="0" w:space="0" w:color="auto"/>
        </w:rPr>
        <w:t>Prevention of allergy and allergic asthma: based on the WHO/WAO Meeting on the Prevention of Allergy and Allergic Asthma, Geneva, 8-9 January 2002</w:t>
      </w:r>
      <w:r w:rsidRPr="0046662F">
        <w:rPr>
          <w:rFonts w:eastAsia="Times New Roman"/>
          <w:color w:val="333333"/>
          <w:u w:color="000000"/>
          <w:bdr w:val="none" w:sz="0" w:space="0" w:color="auto"/>
          <w:shd w:val="clear" w:color="auto" w:fill="FFFFFF"/>
        </w:rPr>
        <w:t>. (2003). Geneva: World Health Organization.</w:t>
      </w:r>
    </w:p>
    <w:p w14:paraId="38B53382" w14:textId="77777777" w:rsidR="0026287C" w:rsidRPr="006B4CF5" w:rsidRDefault="0026287C" w:rsidP="00466750">
      <w:pPr>
        <w:pStyle w:val="BodyA"/>
        <w:jc w:val="both"/>
        <w:rPr>
          <w:rStyle w:val="None"/>
          <w:rFonts w:ascii="Times New Roman" w:hAnsi="Times New Roman" w:cs="Times New Roman"/>
          <w:b/>
          <w:sz w:val="24"/>
          <w:szCs w:val="24"/>
        </w:rPr>
      </w:pPr>
    </w:p>
    <w:p w14:paraId="2527175F" w14:textId="77777777" w:rsidR="00185232" w:rsidRDefault="006074F5" w:rsidP="00466750">
      <w:pPr>
        <w:pStyle w:val="BodyA"/>
        <w:jc w:val="both"/>
      </w:pPr>
      <w:r w:rsidRPr="00562A5C">
        <w:rPr>
          <w:rStyle w:val="None"/>
          <w:rFonts w:ascii="Times New Roman" w:hAnsi="Times New Roman"/>
          <w:b/>
          <w:sz w:val="28"/>
          <w:szCs w:val="28"/>
        </w:rPr>
        <w:t>Reference</w:t>
      </w:r>
      <w:r w:rsidR="00423C4B">
        <w:rPr>
          <w:rStyle w:val="None"/>
          <w:rFonts w:ascii="Times New Roman" w:hAnsi="Times New Roman"/>
          <w:b/>
          <w:sz w:val="28"/>
          <w:szCs w:val="28"/>
        </w:rPr>
        <w:t>s</w:t>
      </w:r>
      <w:r w:rsidRPr="00562A5C">
        <w:rPr>
          <w:rStyle w:val="None"/>
          <w:rFonts w:ascii="Times New Roman" w:hAnsi="Times New Roman"/>
          <w:b/>
          <w:sz w:val="28"/>
          <w:szCs w:val="28"/>
        </w:rPr>
        <w:t>: Post Lyme Syndrome</w:t>
      </w:r>
    </w:p>
    <w:p w14:paraId="67B859F9" w14:textId="260DEAD7" w:rsidR="00176673" w:rsidRDefault="006074F5" w:rsidP="00466750">
      <w:pPr>
        <w:pStyle w:val="NormalWeb"/>
        <w:numPr>
          <w:ilvl w:val="0"/>
          <w:numId w:val="15"/>
        </w:numPr>
        <w:spacing w:before="0" w:after="0"/>
        <w:jc w:val="both"/>
      </w:pPr>
      <w:r>
        <w:t>Stanek G, Wormser G, Gray J</w:t>
      </w:r>
      <w:r w:rsidR="00DD0898">
        <w:t>,</w:t>
      </w:r>
      <w:r>
        <w:t xml:space="preserve"> Strle</w:t>
      </w:r>
      <w:r w:rsidR="00423C4B">
        <w:t xml:space="preserve"> </w:t>
      </w:r>
      <w:r w:rsidR="0046662F">
        <w:t>F. Lyme borreliosis.</w:t>
      </w:r>
      <w:r>
        <w:t xml:space="preserve"> Lancet 379.9814 (2012): 461-473.</w:t>
      </w:r>
    </w:p>
    <w:p w14:paraId="266083B8" w14:textId="0D983F71" w:rsidR="00185232" w:rsidRDefault="006074F5" w:rsidP="00466750">
      <w:pPr>
        <w:pStyle w:val="NormalWeb"/>
        <w:numPr>
          <w:ilvl w:val="0"/>
          <w:numId w:val="15"/>
        </w:numPr>
        <w:spacing w:before="0" w:after="0"/>
        <w:jc w:val="both"/>
      </w:pPr>
      <w:r>
        <w:t>Aucott J, Morrison C, Munoz B, Rowe P</w:t>
      </w:r>
      <w:r w:rsidR="00423C4B">
        <w:t xml:space="preserve">, </w:t>
      </w:r>
      <w:r>
        <w:t>Schwarzwalder A</w:t>
      </w:r>
      <w:r w:rsidR="00DD0898">
        <w:t>,</w:t>
      </w:r>
      <w:r>
        <w:t xml:space="preserve"> West S. Diagnostic challenges of early Lyme disease: lessons from a community case se</w:t>
      </w:r>
      <w:r w:rsidR="0046662F">
        <w:t>ries. BMC Infectious Diseases 9;</w:t>
      </w:r>
      <w:r>
        <w:t xml:space="preserve"> (2009): 79.</w:t>
      </w:r>
    </w:p>
    <w:p w14:paraId="5FA9F0A6" w14:textId="77777777" w:rsidR="00185232" w:rsidRDefault="006074F5" w:rsidP="00466750">
      <w:pPr>
        <w:pStyle w:val="NormalWeb"/>
        <w:numPr>
          <w:ilvl w:val="0"/>
          <w:numId w:val="15"/>
        </w:numPr>
        <w:spacing w:before="0" w:after="0"/>
        <w:jc w:val="both"/>
      </w:pPr>
      <w:r>
        <w:t>Shoemaker</w:t>
      </w:r>
      <w:r w:rsidR="00423C4B">
        <w:t xml:space="preserve"> </w:t>
      </w:r>
      <w:r>
        <w:t>R, Andrew H., Annalaura M</w:t>
      </w:r>
      <w:r w:rsidR="00DD0898">
        <w:t>,</w:t>
      </w:r>
      <w:r>
        <w:t xml:space="preserve"> Ryan J. "Inflammation Induced Chronic Fatiguing Illnesses: A steady march towards understanding mechanisms and identifying new biomarkers and therapies." Internal Medicine Review 3.11 (2017): 1-29.</w:t>
      </w:r>
    </w:p>
    <w:p w14:paraId="15820319" w14:textId="77777777" w:rsidR="00185232" w:rsidRDefault="006074F5" w:rsidP="00466750">
      <w:pPr>
        <w:pStyle w:val="NormalWeb"/>
        <w:numPr>
          <w:ilvl w:val="0"/>
          <w:numId w:val="15"/>
        </w:numPr>
        <w:spacing w:before="0" w:after="0"/>
        <w:jc w:val="both"/>
      </w:pPr>
      <w:r>
        <w:t>Tibbles C, Edlow J. Does this patient have erythema migrans? Jama 297.23 (2007): 2617-2627.</w:t>
      </w:r>
    </w:p>
    <w:p w14:paraId="37BD940C" w14:textId="6C1B5E40" w:rsidR="00185232" w:rsidRDefault="006074F5" w:rsidP="00466750">
      <w:pPr>
        <w:pStyle w:val="NormalWeb"/>
        <w:numPr>
          <w:ilvl w:val="0"/>
          <w:numId w:val="15"/>
        </w:numPr>
        <w:spacing w:before="0" w:after="0"/>
        <w:jc w:val="both"/>
      </w:pPr>
      <w:r>
        <w:t>Shoemaker R, Giclas,</w:t>
      </w:r>
      <w:r w:rsidR="00423C4B">
        <w:t xml:space="preserve"> </w:t>
      </w:r>
      <w:r>
        <w:t>P</w:t>
      </w:r>
      <w:r w:rsidR="00423C4B">
        <w:t xml:space="preserve">, </w:t>
      </w:r>
      <w:r>
        <w:t>Crowder C</w:t>
      </w:r>
      <w:r w:rsidR="00423C4B">
        <w:t xml:space="preserve">, </w:t>
      </w:r>
      <w:r>
        <w:t>House D</w:t>
      </w:r>
      <w:r w:rsidR="00423C4B">
        <w:t xml:space="preserve">, </w:t>
      </w:r>
      <w:r>
        <w:t xml:space="preserve">Glovsky M. Complement split products C3a and C4a are early markers of acute Lyme disease in tick bite patients in the United States. International </w:t>
      </w:r>
      <w:r w:rsidR="00E556C8">
        <w:t>A</w:t>
      </w:r>
      <w:r>
        <w:t xml:space="preserve">rchives of </w:t>
      </w:r>
      <w:r w:rsidR="00E556C8">
        <w:t>A</w:t>
      </w:r>
      <w:r>
        <w:t xml:space="preserve">llergy and </w:t>
      </w:r>
      <w:r w:rsidR="00E556C8">
        <w:t>I</w:t>
      </w:r>
      <w:r>
        <w:t>mmunology 146.3 (2008): 255-261.</w:t>
      </w:r>
    </w:p>
    <w:p w14:paraId="7EE57283" w14:textId="14E20C5D" w:rsidR="00185232" w:rsidRDefault="006074F5" w:rsidP="00466750">
      <w:pPr>
        <w:pStyle w:val="NormalWeb"/>
        <w:numPr>
          <w:ilvl w:val="0"/>
          <w:numId w:val="15"/>
        </w:numPr>
        <w:spacing w:before="0" w:after="0"/>
        <w:jc w:val="both"/>
      </w:pPr>
      <w:r>
        <w:t xml:space="preserve">Aucott J, Crowder L, Kortte K. 2013. Development of a foundation for a case definition of post-treatment Lyme disease syndrome. Int J Infect Dis 17:e443– e449. </w:t>
      </w:r>
      <w:hyperlink r:id="rId21" w:history="1">
        <w:r>
          <w:rPr>
            <w:rStyle w:val="Hyperlink7"/>
          </w:rPr>
          <w:t>http://dx.doi.org/10.1016/j.ijid.2013.01.008</w:t>
        </w:r>
      </w:hyperlink>
      <w:r>
        <w:t>.</w:t>
      </w:r>
    </w:p>
    <w:p w14:paraId="436709D8" w14:textId="7CFF8115" w:rsidR="00185232" w:rsidRDefault="00280D44" w:rsidP="00466750">
      <w:pPr>
        <w:pStyle w:val="NormalWeb"/>
        <w:numPr>
          <w:ilvl w:val="0"/>
          <w:numId w:val="15"/>
        </w:numPr>
        <w:spacing w:before="0" w:after="0"/>
        <w:jc w:val="both"/>
      </w:pPr>
      <w:r>
        <w:t>Bouque</w:t>
      </w:r>
      <w:r w:rsidR="00423C4B">
        <w:t>t J, Soloski M, Swei A, Cheadle C, Federman S, Billaud J, Rebman A, Kabre B, Halpert R</w:t>
      </w:r>
      <w:r w:rsidR="00DD0898">
        <w:t>, Boorgula M, Aucott JN, Chiu C</w:t>
      </w:r>
      <w:r w:rsidR="00151B34">
        <w:t xml:space="preserve">. </w:t>
      </w:r>
      <w:r w:rsidR="006074F5">
        <w:t>Longitudinal transcriptome analysis reveals a sustained differential gene expression signature in patients treated for acute Lyme disease. MBio 7.1 (2016): e00100-16.</w:t>
      </w:r>
    </w:p>
    <w:p w14:paraId="62F17FDB" w14:textId="77777777" w:rsidR="00185232" w:rsidRDefault="006074F5" w:rsidP="00466750">
      <w:pPr>
        <w:pStyle w:val="NormalWeb"/>
        <w:numPr>
          <w:ilvl w:val="0"/>
          <w:numId w:val="15"/>
        </w:numPr>
        <w:spacing w:before="0" w:after="0"/>
        <w:jc w:val="both"/>
      </w:pPr>
      <w:r>
        <w:t>Ryan</w:t>
      </w:r>
      <w:r w:rsidR="00EE5246">
        <w:t xml:space="preserve"> </w:t>
      </w:r>
      <w:r>
        <w:t>J, Shoemaker R. RNA-Seq on patients with chronic inflammatory response syndrome (CIRS) treated with vasoactive intestinal polypeptide (VIP) shows a shift in metabolic state and innate immune functions that coincide with healing. Med Res Arch 2016; 4(7): 1-11.</w:t>
      </w:r>
    </w:p>
    <w:p w14:paraId="65C2CCF9" w14:textId="77777777" w:rsidR="00185232" w:rsidRDefault="00185232" w:rsidP="00466750">
      <w:pPr>
        <w:pStyle w:val="BodyA"/>
        <w:spacing w:after="0"/>
        <w:jc w:val="both"/>
      </w:pPr>
    </w:p>
    <w:p w14:paraId="7D3E532E" w14:textId="77777777" w:rsidR="00185232" w:rsidRPr="00562A5C" w:rsidRDefault="006074F5" w:rsidP="00466750">
      <w:pPr>
        <w:pStyle w:val="BodyA"/>
        <w:spacing w:after="0"/>
        <w:jc w:val="both"/>
        <w:rPr>
          <w:b/>
          <w:sz w:val="28"/>
          <w:szCs w:val="28"/>
        </w:rPr>
      </w:pPr>
      <w:r w:rsidRPr="00562A5C">
        <w:rPr>
          <w:rStyle w:val="None"/>
          <w:rFonts w:ascii="Times New Roman" w:hAnsi="Times New Roman"/>
          <w:b/>
          <w:sz w:val="28"/>
          <w:szCs w:val="28"/>
          <w:lang w:val="it-IT"/>
        </w:rPr>
        <w:t>References: Ciguatera</w:t>
      </w:r>
    </w:p>
    <w:p w14:paraId="5B0A0D09" w14:textId="77777777" w:rsidR="00185232" w:rsidRDefault="00185232" w:rsidP="00466750">
      <w:pPr>
        <w:pStyle w:val="BodyA"/>
        <w:jc w:val="both"/>
      </w:pPr>
    </w:p>
    <w:p w14:paraId="2BA2FFE4" w14:textId="7FAC35FE" w:rsidR="00185232" w:rsidRDefault="006074F5" w:rsidP="00466750">
      <w:pPr>
        <w:pStyle w:val="ListParagraph"/>
        <w:numPr>
          <w:ilvl w:val="0"/>
          <w:numId w:val="17"/>
        </w:numPr>
        <w:jc w:val="both"/>
        <w:rPr>
          <w:rFonts w:ascii="Times New Roman" w:hAnsi="Times New Roman"/>
          <w:sz w:val="24"/>
          <w:szCs w:val="24"/>
        </w:rPr>
      </w:pPr>
      <w:r>
        <w:rPr>
          <w:rFonts w:ascii="Times New Roman" w:hAnsi="Times New Roman"/>
          <w:sz w:val="24"/>
          <w:szCs w:val="24"/>
        </w:rPr>
        <w:t xml:space="preserve">Shoemaker R, Ryan J. </w:t>
      </w:r>
      <w:r w:rsidR="00E556C8">
        <w:rPr>
          <w:rFonts w:ascii="Times New Roman" w:hAnsi="Times New Roman"/>
          <w:sz w:val="24"/>
          <w:szCs w:val="24"/>
        </w:rPr>
        <w:t xml:space="preserve">2018. </w:t>
      </w:r>
      <w:r>
        <w:rPr>
          <w:rFonts w:ascii="Times New Roman" w:hAnsi="Times New Roman"/>
          <w:sz w:val="24"/>
          <w:szCs w:val="24"/>
        </w:rPr>
        <w:t xml:space="preserve">Chapter 94 Ciguatera: a treating physician’s perspective on a global illness. CRC Handbook. CRC Press, </w:t>
      </w:r>
      <w:r w:rsidR="00E556C8">
        <w:rPr>
          <w:rFonts w:ascii="Times New Roman" w:hAnsi="Times New Roman"/>
          <w:sz w:val="24"/>
          <w:szCs w:val="24"/>
        </w:rPr>
        <w:t>i</w:t>
      </w:r>
      <w:r>
        <w:rPr>
          <w:rFonts w:ascii="Times New Roman" w:hAnsi="Times New Roman"/>
          <w:sz w:val="24"/>
          <w:szCs w:val="24"/>
        </w:rPr>
        <w:t xml:space="preserve">n </w:t>
      </w:r>
      <w:r w:rsidR="00E556C8">
        <w:rPr>
          <w:rFonts w:ascii="Times New Roman" w:hAnsi="Times New Roman"/>
          <w:sz w:val="24"/>
          <w:szCs w:val="24"/>
        </w:rPr>
        <w:t>p</w:t>
      </w:r>
      <w:r>
        <w:rPr>
          <w:rFonts w:ascii="Times New Roman" w:hAnsi="Times New Roman"/>
          <w:sz w:val="24"/>
          <w:szCs w:val="24"/>
        </w:rPr>
        <w:t>ress.</w:t>
      </w:r>
    </w:p>
    <w:p w14:paraId="273F9DB4" w14:textId="77777777" w:rsidR="00185232" w:rsidRDefault="006074F5" w:rsidP="00466750">
      <w:pPr>
        <w:pStyle w:val="ListParagraph"/>
        <w:numPr>
          <w:ilvl w:val="0"/>
          <w:numId w:val="17"/>
        </w:numPr>
        <w:jc w:val="both"/>
        <w:rPr>
          <w:rFonts w:ascii="Times New Roman" w:hAnsi="Times New Roman"/>
          <w:sz w:val="24"/>
          <w:szCs w:val="24"/>
        </w:rPr>
      </w:pPr>
      <w:r>
        <w:rPr>
          <w:rFonts w:ascii="Times New Roman" w:hAnsi="Times New Roman"/>
          <w:sz w:val="24"/>
          <w:szCs w:val="24"/>
        </w:rPr>
        <w:t>Skinner M, Brewer T, Johnstone R, Fleming L, Lewis R. Ciguatera fish poisoning in the Pacific Island (1998 to 2008). PLoS Negl Trop Dis 2011; 5: e.1416</w:t>
      </w:r>
    </w:p>
    <w:p w14:paraId="4E91CDFE" w14:textId="77777777" w:rsidR="00185232" w:rsidRDefault="006074F5" w:rsidP="00466750">
      <w:pPr>
        <w:pStyle w:val="ListParagraph"/>
        <w:numPr>
          <w:ilvl w:val="0"/>
          <w:numId w:val="17"/>
        </w:numPr>
        <w:jc w:val="both"/>
        <w:rPr>
          <w:rFonts w:ascii="Times New Roman" w:hAnsi="Times New Roman"/>
          <w:sz w:val="24"/>
          <w:szCs w:val="24"/>
        </w:rPr>
      </w:pPr>
      <w:r>
        <w:rPr>
          <w:rFonts w:ascii="Times New Roman" w:hAnsi="Times New Roman"/>
          <w:sz w:val="24"/>
          <w:szCs w:val="24"/>
        </w:rPr>
        <w:t>Radke E, Reich A, Morris J. Epidemiology of ciguatera in Florida. Am J. Trop Med Hyg. 2015; 93: 425-32.</w:t>
      </w:r>
    </w:p>
    <w:p w14:paraId="4A986DAD" w14:textId="77777777" w:rsidR="00185232" w:rsidRDefault="006074F5" w:rsidP="00466750">
      <w:pPr>
        <w:pStyle w:val="ListParagraph"/>
        <w:numPr>
          <w:ilvl w:val="0"/>
          <w:numId w:val="17"/>
        </w:numPr>
        <w:jc w:val="both"/>
        <w:rPr>
          <w:rFonts w:ascii="Times New Roman" w:hAnsi="Times New Roman"/>
          <w:sz w:val="24"/>
          <w:szCs w:val="24"/>
        </w:rPr>
      </w:pPr>
      <w:r>
        <w:rPr>
          <w:rFonts w:ascii="Times New Roman" w:hAnsi="Times New Roman"/>
          <w:sz w:val="24"/>
          <w:szCs w:val="24"/>
        </w:rPr>
        <w:t>Lewis R, Holmes M. Origin and transfer of toxins involved in ciguatera. Comp Biochem Physiol C 1993; 106: 615.28.</w:t>
      </w:r>
    </w:p>
    <w:p w14:paraId="54B46EF9" w14:textId="77777777" w:rsidR="00185232" w:rsidRDefault="006074F5" w:rsidP="00466750">
      <w:pPr>
        <w:pStyle w:val="ListParagraph"/>
        <w:numPr>
          <w:ilvl w:val="0"/>
          <w:numId w:val="17"/>
        </w:numPr>
        <w:jc w:val="both"/>
        <w:rPr>
          <w:rFonts w:ascii="Times New Roman" w:hAnsi="Times New Roman"/>
          <w:sz w:val="24"/>
          <w:szCs w:val="24"/>
          <w:lang w:val="es-ES_tradnl"/>
        </w:rPr>
      </w:pPr>
      <w:r>
        <w:rPr>
          <w:rStyle w:val="None"/>
          <w:rFonts w:ascii="Times New Roman" w:hAnsi="Times New Roman"/>
          <w:sz w:val="24"/>
          <w:szCs w:val="24"/>
          <w:lang w:val="es-ES_tradnl"/>
        </w:rPr>
        <w:t xml:space="preserve">Le Garrec R, L’herondelle K, Le Gall-Ianotto C, </w:t>
      </w:r>
      <w:r w:rsidR="00DD0898">
        <w:rPr>
          <w:rStyle w:val="None"/>
          <w:rFonts w:ascii="Times New Roman" w:hAnsi="Times New Roman"/>
          <w:sz w:val="24"/>
          <w:szCs w:val="24"/>
          <w:lang w:val="es-ES_tradnl"/>
        </w:rPr>
        <w:t>Lebonvallet N, Leschiera R, Buhe V, Talagas M, Vetter I, Lewis R, Misery L</w:t>
      </w:r>
      <w:r>
        <w:rPr>
          <w:rStyle w:val="None"/>
          <w:rFonts w:ascii="Times New Roman" w:hAnsi="Times New Roman"/>
          <w:sz w:val="24"/>
          <w:szCs w:val="24"/>
          <w:lang w:val="es-ES_tradnl"/>
        </w:rPr>
        <w:t xml:space="preserve">. </w:t>
      </w:r>
      <w:r>
        <w:rPr>
          <w:rStyle w:val="Hyperlink4"/>
          <w:rFonts w:ascii="Times New Roman" w:hAnsi="Times New Roman"/>
          <w:sz w:val="24"/>
          <w:szCs w:val="24"/>
        </w:rPr>
        <w:t>Release of neuropeptides from a neuro-cutaneous co-culture model: A novel in vitro model for studying sensory effects of ciguatoxins. Toxicon 2016; 116: 4-10.</w:t>
      </w:r>
    </w:p>
    <w:p w14:paraId="29121A3B" w14:textId="6DD82AE7" w:rsidR="00185232" w:rsidRDefault="006074F5" w:rsidP="00466750">
      <w:pPr>
        <w:pStyle w:val="ListParagraph"/>
        <w:numPr>
          <w:ilvl w:val="0"/>
          <w:numId w:val="17"/>
        </w:numPr>
        <w:jc w:val="both"/>
        <w:rPr>
          <w:rFonts w:ascii="Times New Roman" w:hAnsi="Times New Roman"/>
          <w:sz w:val="24"/>
          <w:szCs w:val="24"/>
        </w:rPr>
      </w:pPr>
      <w:r>
        <w:rPr>
          <w:rFonts w:ascii="Times New Roman" w:hAnsi="Times New Roman"/>
          <w:sz w:val="24"/>
          <w:szCs w:val="24"/>
        </w:rPr>
        <w:t xml:space="preserve">Nishimura T, Hariganeya N, Tawong W, Sakanari H, Yamaguchi H, Adachi M. Quantitative PCR assay for detection and enumeration of ciguatera-causing dinoflagellate Gambierdiscus </w:t>
      </w:r>
      <w:r w:rsidR="0046662F">
        <w:rPr>
          <w:rFonts w:ascii="Times New Roman" w:hAnsi="Times New Roman"/>
          <w:sz w:val="24"/>
          <w:szCs w:val="24"/>
        </w:rPr>
        <w:t>spp.</w:t>
      </w:r>
      <w:r>
        <w:rPr>
          <w:rFonts w:ascii="Times New Roman" w:hAnsi="Times New Roman"/>
          <w:sz w:val="24"/>
          <w:szCs w:val="24"/>
        </w:rPr>
        <w:t xml:space="preserve"> in coastal areas of Japan. Harmful Algae 2016; 52: 11-22.</w:t>
      </w:r>
    </w:p>
    <w:p w14:paraId="3684FFC2" w14:textId="77777777" w:rsidR="00185232" w:rsidRDefault="006074F5" w:rsidP="00466750">
      <w:pPr>
        <w:pStyle w:val="ListParagraph"/>
        <w:numPr>
          <w:ilvl w:val="0"/>
          <w:numId w:val="17"/>
        </w:numPr>
        <w:jc w:val="both"/>
        <w:rPr>
          <w:rFonts w:ascii="Times New Roman" w:hAnsi="Times New Roman"/>
          <w:sz w:val="24"/>
          <w:szCs w:val="24"/>
        </w:rPr>
      </w:pPr>
      <w:r>
        <w:rPr>
          <w:rFonts w:ascii="Times New Roman" w:hAnsi="Times New Roman"/>
          <w:sz w:val="24"/>
          <w:szCs w:val="24"/>
        </w:rPr>
        <w:t>Bagnis R, Kuberski T, Laugier S. Clinical observation on 3,009 cases of ciguatera (fish poisoning) in the South Pacific. Am J Trop Med Hyg 1979; 28: 1067-73.</w:t>
      </w:r>
    </w:p>
    <w:p w14:paraId="27548367" w14:textId="65EA396E" w:rsidR="00185232" w:rsidRDefault="006074F5" w:rsidP="00466750">
      <w:pPr>
        <w:pStyle w:val="ListParagraph"/>
        <w:numPr>
          <w:ilvl w:val="0"/>
          <w:numId w:val="17"/>
        </w:numPr>
        <w:jc w:val="both"/>
        <w:rPr>
          <w:rFonts w:ascii="Times New Roman" w:hAnsi="Times New Roman"/>
          <w:sz w:val="24"/>
          <w:szCs w:val="24"/>
        </w:rPr>
      </w:pPr>
      <w:r>
        <w:rPr>
          <w:rFonts w:ascii="Times New Roman" w:hAnsi="Times New Roman"/>
          <w:sz w:val="24"/>
          <w:szCs w:val="24"/>
        </w:rPr>
        <w:t>Thomas L. Notes of a biology-watcher. Germs. NEJM 1972; 287(11): 553</w:t>
      </w:r>
      <w:r w:rsidR="00E556C8">
        <w:rPr>
          <w:rFonts w:ascii="Times New Roman" w:hAnsi="Times New Roman"/>
          <w:sz w:val="24"/>
          <w:szCs w:val="24"/>
        </w:rPr>
        <w:t>-54.</w:t>
      </w:r>
    </w:p>
    <w:p w14:paraId="7041DCA8" w14:textId="77777777" w:rsidR="00185232" w:rsidRDefault="006074F5" w:rsidP="00466750">
      <w:pPr>
        <w:pStyle w:val="ListParagraph"/>
        <w:numPr>
          <w:ilvl w:val="0"/>
          <w:numId w:val="17"/>
        </w:numPr>
        <w:jc w:val="both"/>
        <w:rPr>
          <w:rFonts w:ascii="Times New Roman" w:hAnsi="Times New Roman"/>
          <w:sz w:val="24"/>
          <w:szCs w:val="24"/>
        </w:rPr>
      </w:pPr>
      <w:r>
        <w:rPr>
          <w:rFonts w:ascii="Times New Roman" w:hAnsi="Times New Roman"/>
          <w:sz w:val="24"/>
          <w:szCs w:val="24"/>
        </w:rPr>
        <w:t>Shoemaker R, Rash J, Simon E. Sick Building Syndrome in water-damaged buildings: Generalization of the chronic biotoxin-</w:t>
      </w:r>
      <w:r w:rsidR="00176673">
        <w:rPr>
          <w:rFonts w:ascii="Times New Roman" w:hAnsi="Times New Roman"/>
          <w:sz w:val="24"/>
          <w:szCs w:val="24"/>
        </w:rPr>
        <w:t>associated</w:t>
      </w:r>
      <w:r>
        <w:rPr>
          <w:rFonts w:ascii="Times New Roman" w:hAnsi="Times New Roman"/>
          <w:sz w:val="24"/>
          <w:szCs w:val="24"/>
        </w:rPr>
        <w:t xml:space="preserve"> illness paradigm to indoor toxigenic fungi in Johanning E. Editor, Bioaerosols, Fungi. Bacteria, Mycotoxins and Human Health; 2005; pg 66-77.</w:t>
      </w:r>
      <w:r>
        <w:rPr>
          <w:rStyle w:val="None"/>
          <w:rFonts w:ascii="Times New Roman" w:hAnsi="Times New Roman"/>
          <w:sz w:val="24"/>
          <w:szCs w:val="24"/>
          <w:u w:val="single"/>
        </w:rPr>
        <w:t xml:space="preserve"> </w:t>
      </w:r>
    </w:p>
    <w:p w14:paraId="29BB1BDC" w14:textId="77777777" w:rsidR="00185232" w:rsidRPr="006F2CED" w:rsidRDefault="006074F5" w:rsidP="00466750">
      <w:pPr>
        <w:pStyle w:val="ListParagraph"/>
        <w:numPr>
          <w:ilvl w:val="0"/>
          <w:numId w:val="17"/>
        </w:numPr>
        <w:jc w:val="both"/>
        <w:rPr>
          <w:rFonts w:ascii="Times New Roman" w:hAnsi="Times New Roman"/>
          <w:sz w:val="24"/>
          <w:szCs w:val="24"/>
        </w:rPr>
      </w:pPr>
      <w:r w:rsidRPr="006F2CED">
        <w:rPr>
          <w:rFonts w:ascii="Times New Roman" w:hAnsi="Times New Roman"/>
          <w:sz w:val="24"/>
          <w:szCs w:val="24"/>
        </w:rPr>
        <w:t xml:space="preserve">Shoemaker R, House D, Ryan J. Defining the neurotoxin derived illness chronic ciguatera using markers of chronic systemic inflammatory disturbances: A case/control study. Neurotoxicol Teratol 2010; 32(6):633-9. </w:t>
      </w:r>
    </w:p>
    <w:p w14:paraId="0A288019" w14:textId="401E428E" w:rsidR="00185232" w:rsidRDefault="006074F5" w:rsidP="00466750">
      <w:pPr>
        <w:pStyle w:val="ListParagraph"/>
        <w:numPr>
          <w:ilvl w:val="0"/>
          <w:numId w:val="18"/>
        </w:numPr>
        <w:spacing w:after="120" w:line="276" w:lineRule="auto"/>
        <w:jc w:val="both"/>
      </w:pPr>
      <w:r w:rsidRPr="006F2CED">
        <w:rPr>
          <w:rStyle w:val="None"/>
          <w:rFonts w:ascii="Times New Roman" w:hAnsi="Times New Roman"/>
          <w:sz w:val="24"/>
          <w:szCs w:val="24"/>
        </w:rPr>
        <w:t>Ryan J, Wu Q, Shoemaker R.</w:t>
      </w:r>
      <w:r w:rsidRPr="006F2CED">
        <w:rPr>
          <w:rStyle w:val="None"/>
          <w:rFonts w:ascii="Times New Roman" w:hAnsi="Times New Roman"/>
          <w:color w:val="2F4A8B"/>
          <w:sz w:val="24"/>
          <w:szCs w:val="24"/>
          <w:u w:val="single" w:color="2F4A8B"/>
        </w:rPr>
        <w:t xml:space="preserve"> </w:t>
      </w:r>
      <w:r w:rsidRPr="006F2CED">
        <w:rPr>
          <w:rStyle w:val="None"/>
          <w:rFonts w:ascii="Times New Roman" w:hAnsi="Times New Roman"/>
          <w:sz w:val="24"/>
          <w:szCs w:val="24"/>
        </w:rPr>
        <w:t>Transcriptomic signatures in whole blood of patients who acquire a chronic inflammatory response syndrome (CIRS) following an exposure to the</w:t>
      </w:r>
      <w:r w:rsidRPr="00562A5C">
        <w:rPr>
          <w:rStyle w:val="None"/>
          <w:rFonts w:ascii="Times New Roman" w:hAnsi="Times New Roman"/>
          <w:sz w:val="24"/>
          <w:szCs w:val="24"/>
        </w:rPr>
        <w:t xml:space="preserve"> marine toxin ciguatoxin. BMC Med Genomics 2015; 8:15</w:t>
      </w:r>
      <w:r w:rsidR="00E556C8">
        <w:rPr>
          <w:rStyle w:val="None"/>
          <w:rFonts w:ascii="Times New Roman" w:hAnsi="Times New Roman"/>
          <w:sz w:val="24"/>
          <w:szCs w:val="24"/>
        </w:rPr>
        <w:t>-21</w:t>
      </w:r>
      <w:r w:rsidRPr="00562A5C">
        <w:rPr>
          <w:rStyle w:val="None"/>
          <w:rFonts w:ascii="Times New Roman" w:hAnsi="Times New Roman"/>
          <w:sz w:val="24"/>
          <w:szCs w:val="24"/>
        </w:rPr>
        <w:t>.</w:t>
      </w:r>
    </w:p>
    <w:p w14:paraId="4EC6E2E6" w14:textId="77777777" w:rsidR="00185232" w:rsidRDefault="006074F5" w:rsidP="00466750">
      <w:pPr>
        <w:pStyle w:val="BodyA"/>
        <w:spacing w:after="120" w:line="276" w:lineRule="auto"/>
        <w:jc w:val="both"/>
      </w:pPr>
      <w:r w:rsidRPr="00562A5C">
        <w:rPr>
          <w:rStyle w:val="None"/>
          <w:rFonts w:ascii="Times New Roman" w:hAnsi="Times New Roman" w:cs="Times New Roman"/>
          <w:b/>
          <w:sz w:val="28"/>
          <w:szCs w:val="28"/>
        </w:rPr>
        <w:t>References: Pfiesteria</w:t>
      </w:r>
    </w:p>
    <w:p w14:paraId="3EFB64A7" w14:textId="040ABE36" w:rsidR="002F2654" w:rsidRPr="0044416B" w:rsidRDefault="002F2654" w:rsidP="00466750">
      <w:pPr>
        <w:pStyle w:val="BodyA"/>
        <w:numPr>
          <w:ilvl w:val="0"/>
          <w:numId w:val="20"/>
        </w:numPr>
        <w:spacing w:after="0"/>
        <w:jc w:val="both"/>
        <w:rPr>
          <w:rFonts w:ascii="Times New Roman" w:hAnsi="Times New Roman"/>
          <w:sz w:val="24"/>
          <w:szCs w:val="24"/>
        </w:rPr>
      </w:pPr>
      <w:r w:rsidRPr="0044416B">
        <w:rPr>
          <w:rFonts w:ascii="Times New Roman" w:hAnsi="Times New Roman"/>
          <w:sz w:val="24"/>
          <w:szCs w:val="24"/>
        </w:rPr>
        <w:t xml:space="preserve">Shoemaker R. “Diagnosis of Pfiesteria-human illness syndrome.” </w:t>
      </w:r>
      <w:r w:rsidR="0046662F">
        <w:rPr>
          <w:rFonts w:ascii="Times New Roman" w:hAnsi="Times New Roman"/>
          <w:sz w:val="24"/>
          <w:szCs w:val="24"/>
        </w:rPr>
        <w:t>Maryland Medical Journal 1997; 46</w:t>
      </w:r>
      <w:r w:rsidRPr="003F019A">
        <w:rPr>
          <w:rFonts w:ascii="Times New Roman" w:hAnsi="Times New Roman"/>
          <w:sz w:val="24"/>
          <w:szCs w:val="24"/>
        </w:rPr>
        <w:t xml:space="preserve">: 521-523. </w:t>
      </w:r>
    </w:p>
    <w:p w14:paraId="5F3241DF" w14:textId="4591F78F" w:rsidR="0046662F" w:rsidRPr="0046662F" w:rsidRDefault="006074F5" w:rsidP="00466750">
      <w:pPr>
        <w:pStyle w:val="BodyA"/>
        <w:numPr>
          <w:ilvl w:val="0"/>
          <w:numId w:val="20"/>
        </w:numPr>
        <w:shd w:val="clear" w:color="auto" w:fill="FFFFFF"/>
        <w:spacing w:before="120" w:after="120"/>
        <w:jc w:val="both"/>
        <w:rPr>
          <w:sz w:val="24"/>
          <w:szCs w:val="24"/>
        </w:rPr>
      </w:pPr>
      <w:r w:rsidRPr="0046662F">
        <w:rPr>
          <w:rFonts w:ascii="Times New Roman" w:hAnsi="Times New Roman"/>
          <w:sz w:val="24"/>
          <w:szCs w:val="24"/>
        </w:rPr>
        <w:t xml:space="preserve">Shoemaker R. "Treatment of persistent Pfiesteria-human illness syndrome." </w:t>
      </w:r>
      <w:r w:rsidR="002F2654" w:rsidRPr="0046662F">
        <w:rPr>
          <w:rFonts w:ascii="Times New Roman" w:hAnsi="Times New Roman"/>
          <w:sz w:val="24"/>
          <w:szCs w:val="24"/>
        </w:rPr>
        <w:t>Maryland Medical Journal</w:t>
      </w:r>
      <w:r w:rsidR="00EE5246" w:rsidRPr="0046662F">
        <w:rPr>
          <w:rFonts w:ascii="Times New Roman" w:hAnsi="Times New Roman"/>
          <w:sz w:val="24"/>
          <w:szCs w:val="24"/>
        </w:rPr>
        <w:t xml:space="preserve"> </w:t>
      </w:r>
      <w:r w:rsidR="0046662F">
        <w:rPr>
          <w:rFonts w:ascii="Times New Roman" w:hAnsi="Times New Roman"/>
          <w:sz w:val="24"/>
          <w:szCs w:val="24"/>
        </w:rPr>
        <w:t>47</w:t>
      </w:r>
      <w:r w:rsidR="00EE5246" w:rsidRPr="0046662F">
        <w:rPr>
          <w:rFonts w:ascii="Times New Roman" w:hAnsi="Times New Roman"/>
          <w:sz w:val="24"/>
          <w:szCs w:val="24"/>
        </w:rPr>
        <w:t xml:space="preserve"> 1998</w:t>
      </w:r>
      <w:r w:rsidR="0046662F">
        <w:rPr>
          <w:rFonts w:ascii="Times New Roman" w:hAnsi="Times New Roman"/>
          <w:sz w:val="24"/>
          <w:szCs w:val="24"/>
        </w:rPr>
        <w:t>; 47:</w:t>
      </w:r>
      <w:r w:rsidR="00EE5246" w:rsidRPr="0046662F">
        <w:rPr>
          <w:rFonts w:ascii="Times New Roman" w:hAnsi="Times New Roman"/>
          <w:sz w:val="24"/>
          <w:szCs w:val="24"/>
        </w:rPr>
        <w:t xml:space="preserve"> 64-66.</w:t>
      </w:r>
    </w:p>
    <w:p w14:paraId="060BFE80" w14:textId="792A22C2" w:rsidR="006F2CED" w:rsidRPr="0046662F" w:rsidRDefault="001A6018" w:rsidP="00466750">
      <w:pPr>
        <w:pStyle w:val="BodyA"/>
        <w:numPr>
          <w:ilvl w:val="0"/>
          <w:numId w:val="20"/>
        </w:numPr>
        <w:shd w:val="clear" w:color="auto" w:fill="FFFFFF"/>
        <w:spacing w:before="120" w:after="120"/>
        <w:jc w:val="both"/>
        <w:rPr>
          <w:rFonts w:ascii="Times New Roman" w:hAnsi="Times New Roman" w:cs="Times New Roman"/>
          <w:sz w:val="24"/>
          <w:szCs w:val="24"/>
        </w:rPr>
      </w:pPr>
      <w:hyperlink r:id="rId22" w:history="1">
        <w:r w:rsidR="006F2CED" w:rsidRPr="0046662F">
          <w:rPr>
            <w:rStyle w:val="Hyperlink"/>
            <w:rFonts w:ascii="Times New Roman" w:hAnsi="Times New Roman" w:cs="Times New Roman"/>
            <w:sz w:val="24"/>
            <w:szCs w:val="24"/>
            <w:u w:val="none"/>
          </w:rPr>
          <w:t>Collier DN</w:t>
        </w:r>
      </w:hyperlink>
      <w:r w:rsidR="006F2CED" w:rsidRPr="0046662F">
        <w:rPr>
          <w:rFonts w:ascii="Times New Roman" w:hAnsi="Times New Roman" w:cs="Times New Roman"/>
          <w:sz w:val="24"/>
          <w:szCs w:val="24"/>
        </w:rPr>
        <w:t>, </w:t>
      </w:r>
      <w:hyperlink r:id="rId23" w:history="1">
        <w:r w:rsidR="006F2CED" w:rsidRPr="0046662F">
          <w:rPr>
            <w:rStyle w:val="Hyperlink"/>
            <w:rFonts w:ascii="Times New Roman" w:hAnsi="Times New Roman" w:cs="Times New Roman"/>
            <w:sz w:val="24"/>
            <w:szCs w:val="24"/>
            <w:u w:val="none"/>
          </w:rPr>
          <w:t>Burke WA</w:t>
        </w:r>
      </w:hyperlink>
      <w:r w:rsidR="006F2CED" w:rsidRPr="0046662F">
        <w:rPr>
          <w:rFonts w:ascii="Times New Roman" w:hAnsi="Times New Roman" w:cs="Times New Roman"/>
          <w:sz w:val="24"/>
          <w:szCs w:val="24"/>
        </w:rPr>
        <w:t xml:space="preserve">. Pfiesteria complex organisms and human illness. </w:t>
      </w:r>
      <w:hyperlink r:id="rId24" w:tooltip="Southern medical journal." w:history="1">
        <w:r w:rsidR="006F2CED" w:rsidRPr="0046662F">
          <w:rPr>
            <w:rStyle w:val="Hyperlink"/>
            <w:rFonts w:ascii="Times New Roman" w:hAnsi="Times New Roman" w:cs="Times New Roman"/>
            <w:sz w:val="24"/>
            <w:szCs w:val="24"/>
            <w:u w:val="none"/>
          </w:rPr>
          <w:t>South Med J.</w:t>
        </w:r>
      </w:hyperlink>
      <w:r w:rsidR="0046662F">
        <w:rPr>
          <w:rFonts w:ascii="Times New Roman" w:hAnsi="Times New Roman" w:cs="Times New Roman"/>
          <w:sz w:val="24"/>
          <w:szCs w:val="24"/>
        </w:rPr>
        <w:t> 2002; 9</w:t>
      </w:r>
      <w:r w:rsidR="006F2CED" w:rsidRPr="0046662F">
        <w:rPr>
          <w:rFonts w:ascii="Times New Roman" w:hAnsi="Times New Roman" w:cs="Times New Roman"/>
          <w:sz w:val="24"/>
          <w:szCs w:val="24"/>
        </w:rPr>
        <w:t>(7):720-6.</w:t>
      </w:r>
    </w:p>
    <w:p w14:paraId="2B4007AD" w14:textId="239C714E" w:rsidR="006F2CED" w:rsidRPr="0046662F" w:rsidRDefault="006F2CED" w:rsidP="00466750">
      <w:pPr>
        <w:pStyle w:val="BodyA"/>
        <w:numPr>
          <w:ilvl w:val="0"/>
          <w:numId w:val="20"/>
        </w:numPr>
        <w:spacing w:after="0"/>
        <w:jc w:val="both"/>
        <w:rPr>
          <w:rFonts w:ascii="Times New Roman" w:hAnsi="Times New Roman"/>
          <w:sz w:val="24"/>
          <w:szCs w:val="24"/>
        </w:rPr>
      </w:pPr>
      <w:r w:rsidRPr="0046662F">
        <w:rPr>
          <w:rFonts w:ascii="Times New Roman" w:hAnsi="Times New Roman" w:cs="Times New Roman"/>
          <w:color w:val="auto"/>
          <w:sz w:val="24"/>
          <w:szCs w:val="24"/>
        </w:rPr>
        <w:t>Shoemaker R, Hudnell K. Possible estuary-associated syndrome: symptoms, vision, and treatment. Environ</w:t>
      </w:r>
      <w:r w:rsidR="0046662F" w:rsidRPr="0046662F">
        <w:rPr>
          <w:rFonts w:ascii="Times New Roman" w:hAnsi="Times New Roman" w:cs="Times New Roman"/>
          <w:color w:val="auto"/>
          <w:sz w:val="24"/>
          <w:szCs w:val="24"/>
        </w:rPr>
        <w:t>mental Health Perspectives 109</w:t>
      </w:r>
      <w:r w:rsidRPr="0046662F">
        <w:rPr>
          <w:rFonts w:ascii="Times New Roman" w:hAnsi="Times New Roman" w:cs="Times New Roman"/>
          <w:color w:val="auto"/>
          <w:sz w:val="24"/>
          <w:szCs w:val="24"/>
        </w:rPr>
        <w:t xml:space="preserve"> (2001): 539-545.</w:t>
      </w:r>
    </w:p>
    <w:p w14:paraId="14680A54" w14:textId="77777777" w:rsidR="00185232" w:rsidRDefault="00185232" w:rsidP="00466750">
      <w:pPr>
        <w:pStyle w:val="BodyA"/>
        <w:spacing w:after="0"/>
        <w:jc w:val="both"/>
      </w:pPr>
    </w:p>
    <w:p w14:paraId="7660E7F1" w14:textId="77777777" w:rsidR="00185232" w:rsidRDefault="006074F5" w:rsidP="00466750">
      <w:pPr>
        <w:pStyle w:val="BodyA"/>
        <w:jc w:val="both"/>
      </w:pPr>
      <w:r w:rsidRPr="00562A5C">
        <w:rPr>
          <w:rStyle w:val="None"/>
          <w:rFonts w:ascii="Times New Roman" w:hAnsi="Times New Roman"/>
          <w:b/>
          <w:color w:val="222222"/>
          <w:sz w:val="28"/>
          <w:szCs w:val="28"/>
          <w:u w:color="222222"/>
        </w:rPr>
        <w:t>References: Cyanobacteria</w:t>
      </w:r>
    </w:p>
    <w:p w14:paraId="7EAF07ED" w14:textId="3DE79FC1" w:rsidR="00185232" w:rsidRDefault="006074F5" w:rsidP="00466750">
      <w:pPr>
        <w:pStyle w:val="Footnote"/>
        <w:numPr>
          <w:ilvl w:val="0"/>
          <w:numId w:val="22"/>
        </w:numPr>
        <w:jc w:val="both"/>
      </w:pPr>
      <w:r>
        <w:rPr>
          <w:rStyle w:val="Hyperlink4"/>
        </w:rPr>
        <w:t xml:space="preserve">Huisman </w:t>
      </w:r>
      <w:r w:rsidR="0046662F">
        <w:rPr>
          <w:rStyle w:val="Hyperlink4"/>
        </w:rPr>
        <w:t>J, Matthijs H, Visser, P. Ed</w:t>
      </w:r>
      <w:r>
        <w:rPr>
          <w:rStyle w:val="Hyperlink4"/>
        </w:rPr>
        <w:t xml:space="preserve">s, Harmful Cyanobacteria Aquatic Ecology Series. </w:t>
      </w:r>
      <w:r>
        <w:rPr>
          <w:rStyle w:val="Hyperlink6"/>
        </w:rPr>
        <w:t>Dordrecht, The Netherlands. 2005 Springer</w:t>
      </w:r>
      <w:r w:rsidR="0046662F">
        <w:rPr>
          <w:rStyle w:val="Hyperlink4"/>
        </w:rPr>
        <w:t>.</w:t>
      </w:r>
    </w:p>
    <w:p w14:paraId="1BD00736" w14:textId="6959449F" w:rsidR="00185232" w:rsidRDefault="006074F5" w:rsidP="00466750">
      <w:pPr>
        <w:pStyle w:val="Footnote"/>
        <w:numPr>
          <w:ilvl w:val="0"/>
          <w:numId w:val="22"/>
        </w:numPr>
        <w:jc w:val="both"/>
      </w:pPr>
      <w:r>
        <w:t>Carmichael W. Health effects of toxin-producing cyanobacteria: the CyanoHABs, Human and Ecological Risk Assessment 2001; 7</w:t>
      </w:r>
      <w:r w:rsidR="0046662F">
        <w:t>:</w:t>
      </w:r>
      <w:r>
        <w:t xml:space="preserve"> 1393-1407.</w:t>
      </w:r>
    </w:p>
    <w:p w14:paraId="16B15CB1" w14:textId="44F61107" w:rsidR="00185232" w:rsidRDefault="006074F5" w:rsidP="00466750">
      <w:pPr>
        <w:pStyle w:val="Footnote"/>
        <w:numPr>
          <w:ilvl w:val="0"/>
          <w:numId w:val="22"/>
        </w:numPr>
        <w:jc w:val="both"/>
      </w:pPr>
      <w:r>
        <w:rPr>
          <w:rStyle w:val="None"/>
          <w:lang w:val="da-DK"/>
        </w:rPr>
        <w:t>Carmichael</w:t>
      </w:r>
      <w:r>
        <w:rPr>
          <w:rStyle w:val="Hyperlink4"/>
        </w:rPr>
        <w:t xml:space="preserve"> </w:t>
      </w:r>
      <w:r>
        <w:rPr>
          <w:rStyle w:val="Hyperlink5"/>
        </w:rPr>
        <w:t>W</w:t>
      </w:r>
      <w:r>
        <w:rPr>
          <w:rStyle w:val="Hyperlink4"/>
        </w:rPr>
        <w:t>. A world overview-one</w:t>
      </w:r>
      <w:r w:rsidR="004F7191">
        <w:rPr>
          <w:rStyle w:val="Hyperlink4"/>
        </w:rPr>
        <w:t xml:space="preserve"> </w:t>
      </w:r>
      <w:r>
        <w:rPr>
          <w:rStyle w:val="Hyperlink4"/>
        </w:rPr>
        <w:t>hundred</w:t>
      </w:r>
      <w:r w:rsidR="004F7191">
        <w:rPr>
          <w:rStyle w:val="Hyperlink4"/>
        </w:rPr>
        <w:t xml:space="preserve"> </w:t>
      </w:r>
      <w:r>
        <w:rPr>
          <w:rStyle w:val="Hyperlink4"/>
        </w:rPr>
        <w:t>twenty</w:t>
      </w:r>
      <w:r w:rsidR="004F7191">
        <w:rPr>
          <w:rStyle w:val="Hyperlink4"/>
        </w:rPr>
        <w:t xml:space="preserve"> </w:t>
      </w:r>
      <w:r>
        <w:rPr>
          <w:rStyle w:val="Hyperlink4"/>
        </w:rPr>
        <w:t>seven years of research on toxic cyanobacteria-where do we go from here? Adv Exp Med Biol. 2008; 619</w:t>
      </w:r>
      <w:r w:rsidR="0046662F">
        <w:rPr>
          <w:rStyle w:val="Hyperlink4"/>
        </w:rPr>
        <w:t>:</w:t>
      </w:r>
      <w:r>
        <w:rPr>
          <w:rStyle w:val="Hyperlink4"/>
        </w:rPr>
        <w:t xml:space="preserve"> 105-25.</w:t>
      </w:r>
    </w:p>
    <w:p w14:paraId="2D3D9D03" w14:textId="77777777" w:rsidR="00185232" w:rsidRDefault="006074F5" w:rsidP="00466750">
      <w:pPr>
        <w:pStyle w:val="Footnote"/>
        <w:numPr>
          <w:ilvl w:val="0"/>
          <w:numId w:val="22"/>
        </w:numPr>
        <w:jc w:val="both"/>
      </w:pPr>
      <w:r>
        <w:rPr>
          <w:rStyle w:val="Hyperlink4"/>
        </w:rPr>
        <w:t>Backer L,</w:t>
      </w:r>
      <w:r>
        <w:rPr>
          <w:rStyle w:val="None"/>
          <w:lang w:val="pt-PT"/>
        </w:rPr>
        <w:t xml:space="preserve"> Manassaram-Baptiste</w:t>
      </w:r>
      <w:r>
        <w:rPr>
          <w:rStyle w:val="Hyperlink4"/>
        </w:rPr>
        <w:t xml:space="preserve"> D,</w:t>
      </w:r>
      <w:r>
        <w:rPr>
          <w:rStyle w:val="None"/>
          <w:lang w:val="it-IT"/>
        </w:rPr>
        <w:t xml:space="preserve"> LePrell</w:t>
      </w:r>
      <w:r>
        <w:rPr>
          <w:rStyle w:val="Hyperlink4"/>
        </w:rPr>
        <w:t xml:space="preserve"> R,</w:t>
      </w:r>
      <w:r>
        <w:rPr>
          <w:rStyle w:val="None"/>
          <w:position w:val="40"/>
        </w:rPr>
        <w:t xml:space="preserve"> </w:t>
      </w:r>
      <w:r>
        <w:rPr>
          <w:rStyle w:val="None"/>
          <w:lang w:val="it-IT"/>
        </w:rPr>
        <w:t>Bolton</w:t>
      </w:r>
      <w:r>
        <w:rPr>
          <w:rStyle w:val="Hyperlink4"/>
        </w:rPr>
        <w:t xml:space="preserve"> B. </w:t>
      </w:r>
      <w:r>
        <w:rPr>
          <w:rStyle w:val="None"/>
          <w:lang w:val="fr-FR"/>
        </w:rPr>
        <w:t xml:space="preserve"> Cyanobacteria and Algae Blooms: Review of Health and Environmental Data from the Harmful Algal Bloom-Related Illness Surveillance System (HABISS) 2007</w:t>
      </w:r>
      <w:r>
        <w:rPr>
          <w:rStyle w:val="Hyperlink4"/>
        </w:rPr>
        <w:t>–2011 Toxins 2015; 7</w:t>
      </w:r>
      <w:r>
        <w:rPr>
          <w:rStyle w:val="None"/>
          <w:lang w:val="pt-PT"/>
        </w:rPr>
        <w:t xml:space="preserve">: 1048-1064. </w:t>
      </w:r>
    </w:p>
    <w:p w14:paraId="2FBD4419" w14:textId="77777777" w:rsidR="00185232" w:rsidRDefault="006074F5" w:rsidP="00466750">
      <w:pPr>
        <w:pStyle w:val="Footnote"/>
        <w:numPr>
          <w:ilvl w:val="0"/>
          <w:numId w:val="22"/>
        </w:numPr>
        <w:jc w:val="both"/>
      </w:pPr>
      <w:r>
        <w:t xml:space="preserve">USEPA. National Lakes Assessment 2012: A Collaborative Survey of Lakes in the United States. EPA 841-R-16-113. U.S. Environmental Protection Agency, Washington, DC. 2016; 2; </w:t>
      </w:r>
      <w:hyperlink r:id="rId25" w:history="1">
        <w:r>
          <w:rPr>
            <w:rStyle w:val="Hyperlink1"/>
          </w:rPr>
          <w:t>https://nationallakesassessment.epa.gov/</w:t>
        </w:r>
      </w:hyperlink>
      <w:r>
        <w:t xml:space="preserve">  retrieved on 3/3/18</w:t>
      </w:r>
    </w:p>
    <w:p w14:paraId="0AEA3BEA" w14:textId="10F3235F" w:rsidR="00185232" w:rsidRDefault="006074F5" w:rsidP="00466750">
      <w:pPr>
        <w:pStyle w:val="Footnote"/>
        <w:numPr>
          <w:ilvl w:val="0"/>
          <w:numId w:val="22"/>
        </w:numPr>
        <w:jc w:val="both"/>
      </w:pPr>
      <w:r>
        <w:rPr>
          <w:rStyle w:val="Hyperlink4"/>
        </w:rPr>
        <w:t>Hudnell H, Backer L, Anderson J, Dionysiou D. United States of America, Historical Review and Current Policy Addressing Cyanobacteria, In C</w:t>
      </w:r>
      <w:r w:rsidR="003205D4">
        <w:rPr>
          <w:rStyle w:val="Hyperlink4"/>
        </w:rPr>
        <w:t>horus I, editor: Approaches to c</w:t>
      </w:r>
      <w:r>
        <w:rPr>
          <w:rStyle w:val="Hyperlink4"/>
        </w:rPr>
        <w:t>yanotoxin risk assessment, risk management and regulations in different countries Federal Environment Agency, Germany Dessau-Ro</w:t>
      </w:r>
      <w:r w:rsidR="004F7191">
        <w:rPr>
          <w:rStyle w:val="Hyperlink5"/>
        </w:rPr>
        <w:t>B</w:t>
      </w:r>
      <w:r>
        <w:rPr>
          <w:rStyle w:val="Hyperlink4"/>
        </w:rPr>
        <w:t>lau; December 2012. 141</w:t>
      </w:r>
    </w:p>
    <w:p w14:paraId="570948C3" w14:textId="77777777" w:rsidR="00185232" w:rsidRDefault="006074F5" w:rsidP="00466750">
      <w:pPr>
        <w:pStyle w:val="Footnote"/>
        <w:numPr>
          <w:ilvl w:val="0"/>
          <w:numId w:val="22"/>
        </w:numPr>
        <w:jc w:val="both"/>
      </w:pPr>
      <w:r>
        <w:rPr>
          <w:rStyle w:val="Hyperlink4"/>
        </w:rPr>
        <w:t xml:space="preserve">Hilborn </w:t>
      </w:r>
      <w:r>
        <w:rPr>
          <w:rStyle w:val="None"/>
          <w:lang w:val="fr-FR"/>
        </w:rPr>
        <w:t>E, Roberts</w:t>
      </w:r>
      <w:r>
        <w:rPr>
          <w:rStyle w:val="Hyperlink4"/>
        </w:rPr>
        <w:t xml:space="preserve"> </w:t>
      </w:r>
      <w:r>
        <w:rPr>
          <w:rStyle w:val="None"/>
          <w:lang w:val="it-IT"/>
        </w:rPr>
        <w:t>V, Backer L, DeConno E, Egan J, Hyde J, DiOrio</w:t>
      </w:r>
      <w:r>
        <w:rPr>
          <w:rStyle w:val="Hyperlink4"/>
        </w:rPr>
        <w:t xml:space="preserve"> </w:t>
      </w:r>
      <w:r>
        <w:rPr>
          <w:rStyle w:val="Hyperlink5"/>
        </w:rPr>
        <w:t>M, Mohr M, Hardy F, Wade T, Yoder J. Hlaysa, M.</w:t>
      </w:r>
      <w:r>
        <w:rPr>
          <w:rStyle w:val="Hyperlink4"/>
        </w:rPr>
        <w:t> Algal Bloom–Associated Disease Outbreaks Among Users of Freshwater Lakes — United States, 2009–2010 Weekly CDC Morbi</w:t>
      </w:r>
      <w:r w:rsidR="004F7191">
        <w:rPr>
          <w:rStyle w:val="Hyperlink4"/>
        </w:rPr>
        <w:t>d</w:t>
      </w:r>
      <w:r>
        <w:rPr>
          <w:rStyle w:val="Hyperlink4"/>
        </w:rPr>
        <w:t>ity and Mortality Weekly Report, January 10, 2014 / 63(01);1115. https://www.cdc.gov/mmwr/preview/mmwrhtml/mm6301a3.htm  retrieved on 3/3/18</w:t>
      </w:r>
    </w:p>
    <w:p w14:paraId="1A3948FE" w14:textId="77777777" w:rsidR="00185232" w:rsidRDefault="006074F5" w:rsidP="00466750">
      <w:pPr>
        <w:pStyle w:val="Footnote"/>
        <w:numPr>
          <w:ilvl w:val="0"/>
          <w:numId w:val="22"/>
        </w:numPr>
        <w:jc w:val="both"/>
      </w:pPr>
      <w:r>
        <w:t>Shoemaker R, House D. Characterization of chronic human illness associated with exposure to cyanobacterial harmful algal blooms predominated by Microcystis, In: Hudnell H, editor:  Cyanobacterial Harmful Algal Blooms: State of the Science and Research Needs, Advances in Experimental Medicine &amp; Biology 619: Springer 2008 New York, NY Springer 2008 653-654</w:t>
      </w:r>
    </w:p>
    <w:p w14:paraId="22B1FE2F" w14:textId="77777777" w:rsidR="00185232" w:rsidRDefault="006074F5" w:rsidP="00466750">
      <w:pPr>
        <w:pStyle w:val="Footnote"/>
        <w:numPr>
          <w:ilvl w:val="0"/>
          <w:numId w:val="22"/>
        </w:numPr>
        <w:jc w:val="both"/>
      </w:pPr>
      <w:r>
        <w:rPr>
          <w:rStyle w:val="Hyperlink4"/>
        </w:rPr>
        <w:t xml:space="preserve">Shoemaker R. Desperation Medicine. </w:t>
      </w:r>
      <w:r>
        <w:rPr>
          <w:rStyle w:val="None"/>
          <w:lang w:val="it-IT"/>
        </w:rPr>
        <w:t xml:space="preserve"> Baltimore, MD</w:t>
      </w:r>
      <w:r>
        <w:rPr>
          <w:rStyle w:val="Hyperlink4"/>
        </w:rPr>
        <w:t>: Gateway Press; 2006. 301-305.</w:t>
      </w:r>
    </w:p>
    <w:p w14:paraId="2171169C" w14:textId="77777777" w:rsidR="00185232" w:rsidRDefault="006074F5" w:rsidP="00466750">
      <w:pPr>
        <w:pStyle w:val="Footnote"/>
        <w:numPr>
          <w:ilvl w:val="0"/>
          <w:numId w:val="22"/>
        </w:numPr>
        <w:jc w:val="both"/>
        <w:rPr>
          <w:lang w:val="da-DK"/>
        </w:rPr>
      </w:pPr>
      <w:r>
        <w:rPr>
          <w:rStyle w:val="None"/>
          <w:lang w:val="da-DK"/>
        </w:rPr>
        <w:t>Carmichael W</w:t>
      </w:r>
      <w:r>
        <w:rPr>
          <w:rStyle w:val="Hyperlink4"/>
        </w:rPr>
        <w:t>, Yu MJ, He Z, He J, Yu J. Occurrence of the toxic cyanobacterium (blue-green alga) Microcystis aeruginosa in central China. Arch Hydrobiol 1998; 114: 21-30.</w:t>
      </w:r>
    </w:p>
    <w:p w14:paraId="0A7D27BB" w14:textId="2B20B30B" w:rsidR="00185232" w:rsidRDefault="006074F5" w:rsidP="00466750">
      <w:pPr>
        <w:pStyle w:val="Footnote"/>
        <w:numPr>
          <w:ilvl w:val="0"/>
          <w:numId w:val="23"/>
        </w:numPr>
        <w:jc w:val="both"/>
        <w:rPr>
          <w:rStyle w:val="Hyperlink4"/>
        </w:rPr>
      </w:pPr>
      <w:r>
        <w:rPr>
          <w:rStyle w:val="None"/>
          <w:shd w:val="clear" w:color="auto" w:fill="FFFFFF"/>
        </w:rPr>
        <w:t>Sivonen K, Gary J. Cy</w:t>
      </w:r>
      <w:r w:rsidR="004F7191">
        <w:rPr>
          <w:rStyle w:val="None"/>
          <w:shd w:val="clear" w:color="auto" w:fill="FFFFFF"/>
        </w:rPr>
        <w:t>a</w:t>
      </w:r>
      <w:r>
        <w:rPr>
          <w:rStyle w:val="None"/>
          <w:shd w:val="clear" w:color="auto" w:fill="FFFFFF"/>
        </w:rPr>
        <w:t xml:space="preserve">nobacterial Toxins In:  </w:t>
      </w:r>
      <w:r w:rsidR="0046662F">
        <w:rPr>
          <w:rStyle w:val="None"/>
          <w:shd w:val="clear" w:color="auto" w:fill="FFFFFF"/>
        </w:rPr>
        <w:t xml:space="preserve">1999. </w:t>
      </w:r>
      <w:r>
        <w:rPr>
          <w:rStyle w:val="None"/>
          <w:shd w:val="clear" w:color="auto" w:fill="FFFFFF"/>
          <w:lang w:val="pt-PT"/>
        </w:rPr>
        <w:t>Chorus I, Bartram J</w:t>
      </w:r>
      <w:r w:rsidR="003205D4">
        <w:rPr>
          <w:rStyle w:val="None"/>
          <w:shd w:val="clear" w:color="auto" w:fill="FFFFFF"/>
        </w:rPr>
        <w:t>. E</w:t>
      </w:r>
      <w:r>
        <w:rPr>
          <w:rStyle w:val="None"/>
          <w:shd w:val="clear" w:color="auto" w:fill="FFFFFF"/>
        </w:rPr>
        <w:t>ditors Toxic Cyanobacteria in Water: A guide to their public health consequences, monitoring and management.</w:t>
      </w:r>
      <w:r w:rsidR="0046662F">
        <w:rPr>
          <w:rStyle w:val="Hyperlink4"/>
        </w:rPr>
        <w:t>  New York, NY</w:t>
      </w:r>
      <w:r>
        <w:rPr>
          <w:rStyle w:val="Hyperlink4"/>
        </w:rPr>
        <w:t>.</w:t>
      </w:r>
      <w:r w:rsidR="003B0CD6">
        <w:rPr>
          <w:rStyle w:val="Hyperlink4"/>
        </w:rPr>
        <w:t xml:space="preserve"> </w:t>
      </w:r>
    </w:p>
    <w:p w14:paraId="0B2451AD" w14:textId="4CEF1CDA" w:rsidR="003B0CD6" w:rsidRDefault="003B0CD6" w:rsidP="00466750">
      <w:pPr>
        <w:pStyle w:val="Footnote"/>
        <w:numPr>
          <w:ilvl w:val="0"/>
          <w:numId w:val="23"/>
        </w:numPr>
        <w:jc w:val="both"/>
      </w:pPr>
      <w:r>
        <w:rPr>
          <w:rStyle w:val="Hyperlink4"/>
        </w:rPr>
        <w:t>Dahlem A, Hassan A</w:t>
      </w:r>
      <w:r w:rsidR="003205D4">
        <w:rPr>
          <w:rStyle w:val="Hyperlink4"/>
        </w:rPr>
        <w:t>,</w:t>
      </w:r>
      <w:r w:rsidR="003205D4" w:rsidRPr="003205D4">
        <w:rPr>
          <w:rStyle w:val="Hyperlink4"/>
        </w:rPr>
        <w:t xml:space="preserve"> </w:t>
      </w:r>
      <w:r w:rsidR="003205D4">
        <w:rPr>
          <w:rStyle w:val="Hyperlink4"/>
        </w:rPr>
        <w:t>Swanson S, Carmichael W, Beasley V. A model system for studying the bioavailability of intestinally-administered microcystin-LR, a hepatotoxin from the cyanobacterium Microcystis aeruginosa. Pharm. Toxicol. 1989; 64: 177-181.</w:t>
      </w:r>
    </w:p>
    <w:p w14:paraId="7E69E83A" w14:textId="6BA7C8BB" w:rsidR="00185232" w:rsidRDefault="006074F5" w:rsidP="00466750">
      <w:pPr>
        <w:pStyle w:val="Footnote"/>
        <w:numPr>
          <w:ilvl w:val="0"/>
          <w:numId w:val="23"/>
        </w:numPr>
        <w:jc w:val="both"/>
      </w:pPr>
      <w:r>
        <w:rPr>
          <w:rStyle w:val="Hyperlink4"/>
        </w:rPr>
        <w:t>Bradley WG, Mash DC. Beyond Guam: The cyanobacteria/BMAA hypothesis of the cause of ALS and other neurodegenerative diseases, Amyotroph</w:t>
      </w:r>
      <w:r w:rsidR="0046662F">
        <w:rPr>
          <w:rStyle w:val="Hyperlink4"/>
        </w:rPr>
        <w:t>ic Lateral Sclerosis, 1999; 10:S</w:t>
      </w:r>
      <w:r>
        <w:rPr>
          <w:rStyle w:val="Hyperlink4"/>
        </w:rPr>
        <w:t>up</w:t>
      </w:r>
      <w:r w:rsidR="0046662F">
        <w:rPr>
          <w:rStyle w:val="Hyperlink4"/>
        </w:rPr>
        <w:t xml:space="preserve"> </w:t>
      </w:r>
      <w:r>
        <w:rPr>
          <w:rStyle w:val="Hyperlink4"/>
        </w:rPr>
        <w:t>2, 7-20, </w:t>
      </w:r>
      <w:r>
        <w:rPr>
          <w:rStyle w:val="None"/>
          <w:lang w:val="fr-FR"/>
        </w:rPr>
        <w:t>DOI:</w:t>
      </w:r>
      <w:r>
        <w:rPr>
          <w:rStyle w:val="Hyperlink4"/>
        </w:rPr>
        <w:t> </w:t>
      </w:r>
      <w:hyperlink r:id="rId26" w:history="1">
        <w:r>
          <w:rPr>
            <w:rStyle w:val="Hyperlink8"/>
          </w:rPr>
          <w:t>10.3109/17482960903286009</w:t>
        </w:r>
      </w:hyperlink>
      <w:r w:rsidR="0046662F">
        <w:rPr>
          <w:rStyle w:val="Hyperlink4"/>
        </w:rPr>
        <w:t xml:space="preserve"> viewed</w:t>
      </w:r>
      <w:r>
        <w:rPr>
          <w:rStyle w:val="Hyperlink4"/>
        </w:rPr>
        <w:t xml:space="preserve"> 3/10/18</w:t>
      </w:r>
    </w:p>
    <w:p w14:paraId="3FFEFB39" w14:textId="77777777" w:rsidR="00185232" w:rsidRDefault="00185232" w:rsidP="00466750">
      <w:pPr>
        <w:pStyle w:val="BodyA"/>
        <w:jc w:val="both"/>
      </w:pPr>
    </w:p>
    <w:p w14:paraId="33F880D1" w14:textId="77777777" w:rsidR="00185232" w:rsidRPr="00562A5C" w:rsidRDefault="006074F5" w:rsidP="00466750">
      <w:pPr>
        <w:pStyle w:val="BodyA"/>
        <w:spacing w:after="0"/>
        <w:jc w:val="both"/>
        <w:rPr>
          <w:b/>
          <w:sz w:val="28"/>
          <w:szCs w:val="28"/>
        </w:rPr>
      </w:pPr>
      <w:r w:rsidRPr="00562A5C">
        <w:rPr>
          <w:rStyle w:val="None"/>
          <w:rFonts w:ascii="Times New Roman" w:hAnsi="Times New Roman"/>
          <w:b/>
          <w:sz w:val="28"/>
          <w:szCs w:val="28"/>
        </w:rPr>
        <w:t>References: Biotoxin Pathway</w:t>
      </w:r>
    </w:p>
    <w:p w14:paraId="5F7293DC" w14:textId="77777777" w:rsidR="00185232" w:rsidRDefault="00185232" w:rsidP="00466750">
      <w:pPr>
        <w:pStyle w:val="BodyA"/>
        <w:spacing w:after="0"/>
        <w:jc w:val="both"/>
      </w:pPr>
    </w:p>
    <w:p w14:paraId="499F5921" w14:textId="77777777" w:rsidR="00185232" w:rsidRPr="00FE3CB9" w:rsidRDefault="006074F5" w:rsidP="00466750">
      <w:pPr>
        <w:pStyle w:val="ListParagraph"/>
        <w:numPr>
          <w:ilvl w:val="0"/>
          <w:numId w:val="28"/>
        </w:numPr>
        <w:spacing w:after="160"/>
        <w:jc w:val="both"/>
        <w:rPr>
          <w:rFonts w:ascii="Times New Roman" w:hAnsi="Times New Roman"/>
          <w:sz w:val="24"/>
          <w:szCs w:val="24"/>
        </w:rPr>
      </w:pPr>
      <w:r w:rsidRPr="00FE3CB9">
        <w:rPr>
          <w:rFonts w:ascii="Times New Roman" w:hAnsi="Times New Roman"/>
          <w:sz w:val="24"/>
          <w:szCs w:val="24"/>
        </w:rPr>
        <w:t>Janeway</w:t>
      </w:r>
      <w:r w:rsidR="00DF2663" w:rsidRPr="00FE3CB9">
        <w:rPr>
          <w:rFonts w:ascii="Times New Roman" w:hAnsi="Times New Roman"/>
          <w:sz w:val="24"/>
          <w:szCs w:val="24"/>
        </w:rPr>
        <w:t xml:space="preserve"> C, </w:t>
      </w:r>
      <w:r w:rsidRPr="00FE3CB9">
        <w:rPr>
          <w:rFonts w:ascii="Times New Roman" w:hAnsi="Times New Roman"/>
          <w:sz w:val="24"/>
          <w:szCs w:val="24"/>
        </w:rPr>
        <w:t xml:space="preserve">Travers P, Walport, M.. Immunobiology: The Immune System in Health and Disease. 5th edition. New York, NY: Garland Science; 2001. Principles of Innate and Adaptive Immunity.  </w:t>
      </w:r>
      <w:hyperlink r:id="rId27" w:history="1">
        <w:r w:rsidRPr="00FE3CB9">
          <w:rPr>
            <w:rStyle w:val="Hyperlink9"/>
            <w:rFonts w:ascii="Times New Roman" w:hAnsi="Times New Roman"/>
            <w:sz w:val="24"/>
            <w:szCs w:val="24"/>
          </w:rPr>
          <w:t>http://www.ncbi.nlm.nih.gov/books/NBK27090/</w:t>
        </w:r>
      </w:hyperlink>
      <w:r w:rsidRPr="00FE3CB9">
        <w:rPr>
          <w:rStyle w:val="Hyperlink9"/>
          <w:rFonts w:ascii="Times New Roman" w:hAnsi="Times New Roman"/>
          <w:sz w:val="24"/>
          <w:szCs w:val="24"/>
        </w:rPr>
        <w:t xml:space="preserve"> retrieved on 3/3/18</w:t>
      </w:r>
    </w:p>
    <w:p w14:paraId="012B2AA6" w14:textId="77777777" w:rsidR="00185232" w:rsidRDefault="006074F5" w:rsidP="00466750">
      <w:pPr>
        <w:pStyle w:val="ListParagraph"/>
        <w:numPr>
          <w:ilvl w:val="0"/>
          <w:numId w:val="28"/>
        </w:numPr>
        <w:spacing w:after="160"/>
        <w:jc w:val="both"/>
        <w:rPr>
          <w:rFonts w:ascii="Times New Roman" w:hAnsi="Times New Roman"/>
          <w:sz w:val="24"/>
          <w:szCs w:val="24"/>
        </w:rPr>
      </w:pPr>
      <w:r>
        <w:rPr>
          <w:rFonts w:ascii="Times New Roman" w:hAnsi="Times New Roman"/>
          <w:sz w:val="24"/>
          <w:szCs w:val="24"/>
        </w:rPr>
        <w:t>Coico R, Sunshine G. Immunology: A Short Course.  6</w:t>
      </w:r>
      <w:r>
        <w:rPr>
          <w:rStyle w:val="None"/>
          <w:rFonts w:ascii="Times New Roman" w:hAnsi="Times New Roman"/>
          <w:sz w:val="24"/>
          <w:szCs w:val="24"/>
          <w:vertAlign w:val="superscript"/>
        </w:rPr>
        <w:t>th</w:t>
      </w:r>
      <w:r>
        <w:rPr>
          <w:rFonts w:ascii="Times New Roman" w:hAnsi="Times New Roman"/>
          <w:sz w:val="24"/>
          <w:szCs w:val="24"/>
        </w:rPr>
        <w:t xml:space="preserve"> ed. Hoboken, NJ:  John Wiley &amp; Sons, Inc; 2009.</w:t>
      </w:r>
    </w:p>
    <w:p w14:paraId="700FC5BE" w14:textId="77777777" w:rsidR="00185232" w:rsidRDefault="006074F5" w:rsidP="00466750">
      <w:pPr>
        <w:pStyle w:val="ListParagraph"/>
        <w:numPr>
          <w:ilvl w:val="0"/>
          <w:numId w:val="28"/>
        </w:numPr>
        <w:spacing w:before="165" w:after="0"/>
        <w:jc w:val="both"/>
        <w:rPr>
          <w:rFonts w:ascii="Times New Roman" w:hAnsi="Times New Roman"/>
          <w:sz w:val="24"/>
          <w:szCs w:val="24"/>
        </w:rPr>
      </w:pPr>
      <w:r>
        <w:rPr>
          <w:rStyle w:val="None"/>
          <w:rFonts w:ascii="Times New Roman" w:hAnsi="Times New Roman"/>
          <w:sz w:val="24"/>
          <w:szCs w:val="24"/>
          <w:shd w:val="clear" w:color="auto" w:fill="FFFFFF"/>
        </w:rPr>
        <w:t>Murphy K, Weaver C. Janeway’s Immunology. 9</w:t>
      </w:r>
      <w:r>
        <w:rPr>
          <w:rStyle w:val="None"/>
          <w:rFonts w:ascii="Times New Roman" w:hAnsi="Times New Roman"/>
          <w:sz w:val="24"/>
          <w:szCs w:val="24"/>
          <w:shd w:val="clear" w:color="auto" w:fill="FFFFFF"/>
          <w:vertAlign w:val="superscript"/>
        </w:rPr>
        <w:t>th</w:t>
      </w:r>
      <w:r>
        <w:rPr>
          <w:rStyle w:val="None"/>
          <w:rFonts w:ascii="Times New Roman" w:hAnsi="Times New Roman"/>
          <w:sz w:val="24"/>
          <w:szCs w:val="24"/>
          <w:shd w:val="clear" w:color="auto" w:fill="FFFFFF"/>
        </w:rPr>
        <w:t xml:space="preserve"> edition. </w:t>
      </w:r>
      <w:r>
        <w:rPr>
          <w:rFonts w:ascii="Times New Roman" w:hAnsi="Times New Roman"/>
          <w:sz w:val="24"/>
          <w:szCs w:val="24"/>
        </w:rPr>
        <w:t xml:space="preserve">pp. 431-432. New York, NY: </w:t>
      </w:r>
      <w:r>
        <w:rPr>
          <w:rStyle w:val="None"/>
          <w:rFonts w:ascii="Times New Roman" w:hAnsi="Times New Roman"/>
          <w:sz w:val="24"/>
          <w:szCs w:val="24"/>
          <w:shd w:val="clear" w:color="auto" w:fill="FFFFFF"/>
        </w:rPr>
        <w:t>Garland Science Publisher;</w:t>
      </w:r>
      <w:r>
        <w:rPr>
          <w:rFonts w:ascii="Times New Roman" w:hAnsi="Times New Roman"/>
          <w:sz w:val="24"/>
          <w:szCs w:val="24"/>
        </w:rPr>
        <w:t xml:space="preserve"> 2017. </w:t>
      </w:r>
    </w:p>
    <w:p w14:paraId="28220702" w14:textId="77777777" w:rsidR="00185232" w:rsidRDefault="006074F5" w:rsidP="00466750">
      <w:pPr>
        <w:pStyle w:val="ListParagraph"/>
        <w:numPr>
          <w:ilvl w:val="0"/>
          <w:numId w:val="28"/>
        </w:numPr>
        <w:spacing w:before="165" w:after="0"/>
        <w:jc w:val="both"/>
        <w:rPr>
          <w:sz w:val="24"/>
          <w:szCs w:val="24"/>
        </w:rPr>
      </w:pPr>
      <w:r>
        <w:rPr>
          <w:rStyle w:val="None"/>
          <w:rFonts w:ascii="Times New Roman" w:hAnsi="Times New Roman"/>
          <w:sz w:val="24"/>
          <w:szCs w:val="24"/>
          <w:shd w:val="clear" w:color="auto" w:fill="FFFFFF"/>
        </w:rPr>
        <w:t>Mogensen T. </w:t>
      </w:r>
      <w:hyperlink r:id="rId28" w:history="1">
        <w:r>
          <w:rPr>
            <w:rStyle w:val="Hyperlink10"/>
            <w:rFonts w:eastAsia="Calibri"/>
            <w:sz w:val="24"/>
            <w:szCs w:val="24"/>
          </w:rPr>
          <w:t>Pathogen recognition and inflammatory signaling in innate immune defenses.</w:t>
        </w:r>
      </w:hyperlink>
      <w:r>
        <w:rPr>
          <w:rStyle w:val="None"/>
          <w:rFonts w:ascii="Times New Roman" w:hAnsi="Times New Roman"/>
          <w:sz w:val="24"/>
          <w:szCs w:val="24"/>
          <w:shd w:val="clear" w:color="auto" w:fill="FFFFFF"/>
        </w:rPr>
        <w:t xml:space="preserve"> Clin Microbiol Rev. 2009;22(2):240-73. Table of Contents. doi: 10.1128/CMR.00046-08. </w:t>
      </w:r>
    </w:p>
    <w:p w14:paraId="3C7395D8"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Ryan J, Wu Q, Shoemaker R. </w:t>
      </w:r>
      <w:hyperlink r:id="rId29" w:history="1">
        <w:r>
          <w:rPr>
            <w:rStyle w:val="Hyperlink11"/>
            <w:rFonts w:ascii="Times New Roman" w:hAnsi="Times New Roman"/>
            <w:sz w:val="24"/>
            <w:szCs w:val="24"/>
          </w:rPr>
          <w:t>Transcriptomic signatures in whole blood of patients who acquire a chronic inflammatory response syndrome (CIRS) following an exposure to the marine toxin ciguatoxin.</w:t>
        </w:r>
      </w:hyperlink>
      <w:r>
        <w:rPr>
          <w:rStyle w:val="None"/>
          <w:rFonts w:ascii="Times New Roman" w:hAnsi="Times New Roman"/>
          <w:sz w:val="24"/>
          <w:szCs w:val="24"/>
          <w:shd w:val="clear" w:color="auto" w:fill="FFFFFF"/>
        </w:rPr>
        <w:t xml:space="preserve"> BMC Med Genomics. 2015; 8:15. doi: 10.1186/s12920-015-0089-x. </w:t>
      </w:r>
    </w:p>
    <w:p w14:paraId="39484933"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Gonzalez-Rey E, Chorny A, Delgado M. </w:t>
      </w:r>
      <w:hyperlink r:id="rId30" w:history="1">
        <w:r>
          <w:rPr>
            <w:rStyle w:val="Hyperlink11"/>
            <w:rFonts w:ascii="Times New Roman" w:hAnsi="Times New Roman"/>
            <w:sz w:val="24"/>
            <w:szCs w:val="24"/>
          </w:rPr>
          <w:t>Regulation of immune tolerance by anti-inflammatory neuropeptides.</w:t>
        </w:r>
      </w:hyperlink>
      <w:r>
        <w:rPr>
          <w:rStyle w:val="None"/>
          <w:rFonts w:ascii="Times New Roman" w:hAnsi="Times New Roman"/>
          <w:sz w:val="24"/>
          <w:szCs w:val="24"/>
          <w:shd w:val="clear" w:color="auto" w:fill="FFFFFF"/>
        </w:rPr>
        <w:t xml:space="preserve"> Nat Rev Immunol. 2007; 7(1):52-63. </w:t>
      </w:r>
    </w:p>
    <w:p w14:paraId="252CF92E"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Perry V. </w:t>
      </w:r>
      <w:hyperlink r:id="rId31" w:history="1">
        <w:r>
          <w:rPr>
            <w:rStyle w:val="Hyperlink11"/>
            <w:rFonts w:ascii="Times New Roman" w:hAnsi="Times New Roman"/>
            <w:sz w:val="24"/>
            <w:szCs w:val="24"/>
          </w:rPr>
          <w:t>The influence of systemic inflammation on inflammation in the brain: implications for chronic neurodegenerative disease.</w:t>
        </w:r>
      </w:hyperlink>
      <w:r>
        <w:rPr>
          <w:rStyle w:val="Hyperlink11"/>
          <w:rFonts w:ascii="Times New Roman" w:hAnsi="Times New Roman"/>
          <w:sz w:val="24"/>
          <w:szCs w:val="24"/>
        </w:rPr>
        <w:t xml:space="preserve"> </w:t>
      </w:r>
      <w:r>
        <w:rPr>
          <w:rStyle w:val="None"/>
          <w:rFonts w:ascii="Times New Roman" w:hAnsi="Times New Roman"/>
          <w:sz w:val="24"/>
          <w:szCs w:val="24"/>
          <w:shd w:val="clear" w:color="auto" w:fill="FFFFFF"/>
        </w:rPr>
        <w:t xml:space="preserve">Brain Behav Immun. 2004; 18(5):407-13. </w:t>
      </w:r>
    </w:p>
    <w:p w14:paraId="49601069" w14:textId="77777777" w:rsidR="00185232" w:rsidRDefault="006074F5" w:rsidP="00466750">
      <w:pPr>
        <w:pStyle w:val="ListParagraph"/>
        <w:keepNext/>
        <w:keepLines/>
        <w:numPr>
          <w:ilvl w:val="0"/>
          <w:numId w:val="28"/>
        </w:numPr>
        <w:shd w:val="clear" w:color="auto" w:fill="FFFFFF"/>
        <w:spacing w:after="225"/>
        <w:jc w:val="both"/>
        <w:outlineLvl w:val="0"/>
        <w:rPr>
          <w:rFonts w:ascii="Times New Roman" w:hAnsi="Times New Roman"/>
          <w:sz w:val="24"/>
          <w:szCs w:val="24"/>
        </w:rPr>
      </w:pPr>
      <w:r>
        <w:rPr>
          <w:rStyle w:val="None"/>
          <w:rFonts w:ascii="Times New Roman" w:hAnsi="Times New Roman"/>
          <w:sz w:val="24"/>
          <w:szCs w:val="24"/>
          <w:shd w:val="clear" w:color="auto" w:fill="FFFFFF"/>
        </w:rPr>
        <w:t xml:space="preserve">McMahon S, Shoemaker R, Ryan J. </w:t>
      </w:r>
      <w:r>
        <w:rPr>
          <w:rFonts w:ascii="Times New Roman" w:hAnsi="Times New Roman"/>
          <w:sz w:val="24"/>
          <w:szCs w:val="24"/>
        </w:rPr>
        <w:t>Reduction in Forebrain Parenchymal and Cortical Grey Matter Swelling Across Treatment Groups in Patients with Inflammatory Illness Acquired Following Exposure to Water-Damaged Buildings. J Neurosci Clin Res. 2016; 1(1):1-4.</w:t>
      </w:r>
    </w:p>
    <w:p w14:paraId="0562568D" w14:textId="77777777" w:rsidR="00185232" w:rsidRDefault="006074F5" w:rsidP="00466750">
      <w:pPr>
        <w:pStyle w:val="ListParagraph"/>
        <w:numPr>
          <w:ilvl w:val="0"/>
          <w:numId w:val="28"/>
        </w:numPr>
        <w:spacing w:after="160"/>
        <w:jc w:val="both"/>
        <w:rPr>
          <w:rFonts w:ascii="Times New Roman" w:hAnsi="Times New Roman"/>
          <w:sz w:val="24"/>
          <w:szCs w:val="24"/>
        </w:rPr>
      </w:pPr>
      <w:r>
        <w:rPr>
          <w:rFonts w:ascii="Times New Roman" w:hAnsi="Times New Roman"/>
          <w:sz w:val="24"/>
          <w:szCs w:val="24"/>
        </w:rPr>
        <w:t xml:space="preserve">Shoemaker R, Rash J, Simon E. </w:t>
      </w:r>
      <w:r>
        <w:rPr>
          <w:rStyle w:val="None"/>
          <w:rFonts w:ascii="Times New Roman" w:hAnsi="Times New Roman"/>
          <w:sz w:val="24"/>
          <w:szCs w:val="24"/>
          <w:shd w:val="clear" w:color="auto" w:fill="FFFFFF"/>
        </w:rPr>
        <w:t>“Sick Building Syndrome in Water Damaged Buildings: Generalization of the Chronic Biotoxin Associated Illness Paradigm to Indoor Toxigenic Fungi. Bioaerosols, Fungi, Bacteria, Mycotoxins and Human Health.” Bioaerosols, Fungi, Bacteria, Mycotoxins and Human Health: Patho-Physiology, Clinical Effects, Exposure Assessment, Prevention and Control in Indoor Environments and Work. Fungal Research Group Foundation, Inc, 2006. pp. 52–63. E. Johanning, editor.</w:t>
      </w:r>
    </w:p>
    <w:p w14:paraId="289F20DD" w14:textId="77777777" w:rsidR="00185232" w:rsidRDefault="006074F5" w:rsidP="00466750">
      <w:pPr>
        <w:pStyle w:val="ListParagraph"/>
        <w:numPr>
          <w:ilvl w:val="0"/>
          <w:numId w:val="28"/>
        </w:numPr>
        <w:spacing w:after="160"/>
        <w:jc w:val="both"/>
        <w:rPr>
          <w:rFonts w:ascii="Times New Roman" w:hAnsi="Times New Roman"/>
          <w:sz w:val="24"/>
          <w:szCs w:val="24"/>
        </w:rPr>
      </w:pPr>
      <w:r>
        <w:rPr>
          <w:rFonts w:ascii="Times New Roman" w:hAnsi="Times New Roman"/>
          <w:sz w:val="24"/>
          <w:szCs w:val="24"/>
        </w:rPr>
        <w:t xml:space="preserve">Shoemaker R, House D, Ryan J.  Defining the neurotoxin derived illness chronic ciguatera using markers of chronic systemic inflammatory disturbances: A case/control study. </w:t>
      </w:r>
      <w:r>
        <w:rPr>
          <w:rStyle w:val="None"/>
          <w:rFonts w:ascii="Times New Roman" w:hAnsi="Times New Roman"/>
          <w:sz w:val="24"/>
          <w:szCs w:val="24"/>
          <w:shd w:val="clear" w:color="auto" w:fill="FFFFFF"/>
        </w:rPr>
        <w:t xml:space="preserve">Neurotoxicol Teratol. 2010 Nov-Dec; 32(6):633-639.                                                                                                         </w:t>
      </w:r>
    </w:p>
    <w:p w14:paraId="7BBC7641"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Roeder A, Kirschning C, Rupec R, Schaller M, Weindl G, Korting H. </w:t>
      </w:r>
      <w:hyperlink r:id="rId32" w:history="1">
        <w:r>
          <w:rPr>
            <w:rStyle w:val="Hyperlink11"/>
            <w:rFonts w:ascii="Times New Roman" w:hAnsi="Times New Roman"/>
            <w:sz w:val="24"/>
            <w:szCs w:val="24"/>
          </w:rPr>
          <w:t>Toll-like receptors as key mediators in innate antifungal immunity.</w:t>
        </w:r>
      </w:hyperlink>
      <w:r>
        <w:rPr>
          <w:rStyle w:val="None"/>
          <w:rFonts w:ascii="Times New Roman" w:hAnsi="Times New Roman"/>
          <w:sz w:val="24"/>
          <w:szCs w:val="24"/>
          <w:shd w:val="clear" w:color="auto" w:fill="FFFFFF"/>
        </w:rPr>
        <w:t xml:space="preserve"> Med Mycol. 2004; 42(6):485-98. </w:t>
      </w:r>
    </w:p>
    <w:p w14:paraId="08118FC2"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Drummond R, Gaffen S, Hise A, Brown G. </w:t>
      </w:r>
      <w:hyperlink r:id="rId33" w:history="1">
        <w:r>
          <w:rPr>
            <w:rStyle w:val="Hyperlink11"/>
            <w:rFonts w:ascii="Times New Roman" w:hAnsi="Times New Roman"/>
            <w:sz w:val="24"/>
            <w:szCs w:val="24"/>
          </w:rPr>
          <w:t>Innate Defense against Fungal Pathogens.</w:t>
        </w:r>
      </w:hyperlink>
      <w:r>
        <w:rPr>
          <w:rStyle w:val="None"/>
          <w:rFonts w:ascii="Times New Roman" w:hAnsi="Times New Roman"/>
          <w:sz w:val="24"/>
          <w:szCs w:val="24"/>
          <w:shd w:val="clear" w:color="auto" w:fill="FFFFFF"/>
        </w:rPr>
        <w:t xml:space="preserve"> Cold Spring Harb Perspect Med. 2014; 5(6). pii: a019620. doi: 10.1101/cshperspect.a019620. </w:t>
      </w:r>
    </w:p>
    <w:p w14:paraId="24C4A792"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Hoving J, Wilson G, Brown G. </w:t>
      </w:r>
      <w:hyperlink r:id="rId34" w:history="1">
        <w:r>
          <w:rPr>
            <w:rStyle w:val="Hyperlink11"/>
            <w:rFonts w:ascii="Times New Roman" w:hAnsi="Times New Roman"/>
            <w:sz w:val="24"/>
            <w:szCs w:val="24"/>
          </w:rPr>
          <w:t>Signaling C-type lectin receptors, microbial recognition and immunity.</w:t>
        </w:r>
      </w:hyperlink>
      <w:r>
        <w:rPr>
          <w:rStyle w:val="None"/>
          <w:rFonts w:ascii="Times New Roman" w:hAnsi="Times New Roman"/>
          <w:sz w:val="24"/>
          <w:szCs w:val="24"/>
          <w:shd w:val="clear" w:color="auto" w:fill="FFFFFF"/>
        </w:rPr>
        <w:t xml:space="preserve"> Cell Microbiol. 2014; 16(2):185-94. doi: 10.1111/cmi.12249.  </w:t>
      </w:r>
    </w:p>
    <w:p w14:paraId="275D5851" w14:textId="77777777" w:rsidR="00185232" w:rsidRDefault="006074F5" w:rsidP="00466750">
      <w:pPr>
        <w:pStyle w:val="ListParagraph"/>
        <w:numPr>
          <w:ilvl w:val="0"/>
          <w:numId w:val="28"/>
        </w:numPr>
        <w:spacing w:after="160"/>
        <w:jc w:val="both"/>
        <w:rPr>
          <w:rFonts w:ascii="Times New Roman" w:hAnsi="Times New Roman"/>
          <w:sz w:val="24"/>
          <w:szCs w:val="24"/>
        </w:rPr>
      </w:pPr>
      <w:r>
        <w:rPr>
          <w:rFonts w:ascii="Times New Roman" w:hAnsi="Times New Roman"/>
          <w:sz w:val="24"/>
          <w:szCs w:val="24"/>
        </w:rPr>
        <w:t>Shoemaker R, House D, Ryan J. Vasoactive intestinal polypeptide (VIP) corrects chronic inflammatory response syndrome (CIRS) acquired following exposure to water-damaged buildings. Health. 2013;5(3):396-401.</w:t>
      </w:r>
    </w:p>
    <w:p w14:paraId="4311F1D1"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Hudnell H. </w:t>
      </w:r>
      <w:hyperlink r:id="rId35" w:history="1">
        <w:r>
          <w:rPr>
            <w:rStyle w:val="Hyperlink11"/>
            <w:rFonts w:ascii="Times New Roman" w:hAnsi="Times New Roman"/>
            <w:sz w:val="24"/>
            <w:szCs w:val="24"/>
          </w:rPr>
          <w:t>Chronic biotoxin-associated illness: multiple-system symptoms, a vision deficit, and effective treatment.</w:t>
        </w:r>
      </w:hyperlink>
      <w:r>
        <w:rPr>
          <w:rStyle w:val="None"/>
          <w:rFonts w:ascii="Times New Roman" w:hAnsi="Times New Roman"/>
          <w:sz w:val="24"/>
          <w:szCs w:val="24"/>
          <w:shd w:val="clear" w:color="auto" w:fill="FFFFFF"/>
        </w:rPr>
        <w:t xml:space="preserve"> Neurotoxicol Teratol. 2005 Sep-Oct; 27(5):733-43. </w:t>
      </w:r>
    </w:p>
    <w:p w14:paraId="2276C953" w14:textId="77777777" w:rsidR="00185232" w:rsidRDefault="006074F5" w:rsidP="00466750">
      <w:pPr>
        <w:pStyle w:val="NormalWeb"/>
        <w:numPr>
          <w:ilvl w:val="0"/>
          <w:numId w:val="28"/>
        </w:numPr>
        <w:spacing w:before="165" w:after="0"/>
        <w:jc w:val="both"/>
      </w:pPr>
      <w:r>
        <w:rPr>
          <w:rStyle w:val="None"/>
          <w:shd w:val="clear" w:color="auto" w:fill="FFFFFF"/>
        </w:rPr>
        <w:t>Melamed D, Messika O, Glass-Marmor L, Miller A.  Modulation of matrix metalloproteinase-9 (MMP-9) secretion in B lymphopoiesis. International Immunology. 2006; 18(9):1355–1362. </w:t>
      </w:r>
      <w:hyperlink r:id="rId36" w:history="1">
        <w:r>
          <w:rPr>
            <w:rStyle w:val="Hyperlink11"/>
          </w:rPr>
          <w:t>https://doi.org/10.1093/intimm/dxl068</w:t>
        </w:r>
      </w:hyperlink>
      <w:r>
        <w:rPr>
          <w:rStyle w:val="Hyperlink11"/>
        </w:rPr>
        <w:t xml:space="preserve">  retrieved on 3/3/18                                                                                       </w:t>
      </w:r>
    </w:p>
    <w:p w14:paraId="42164C4B" w14:textId="77777777" w:rsidR="00185232" w:rsidRDefault="006074F5" w:rsidP="00466750">
      <w:pPr>
        <w:pStyle w:val="NormalWeb"/>
        <w:numPr>
          <w:ilvl w:val="0"/>
          <w:numId w:val="28"/>
        </w:numPr>
        <w:spacing w:before="165" w:after="0"/>
        <w:jc w:val="both"/>
      </w:pPr>
      <w:r>
        <w:rPr>
          <w:rStyle w:val="None"/>
          <w:shd w:val="clear" w:color="auto" w:fill="FFFFFF"/>
        </w:rPr>
        <w:t>Di Girolamo N, Indoh I, Jackson N, Wakefield D, McNeil HP, Yan W, Geczy C, Arm J, Tedla N  </w:t>
      </w:r>
      <w:hyperlink r:id="rId37" w:history="1">
        <w:r>
          <w:rPr>
            <w:rStyle w:val="Hyperlink11"/>
          </w:rPr>
          <w:t>Human mast cell-derived gelatinase B (matrix metalloproteinase-9) is regulated by inflammatory cytokines: role in cell migration.</w:t>
        </w:r>
      </w:hyperlink>
      <w:r>
        <w:rPr>
          <w:rStyle w:val="None"/>
          <w:shd w:val="clear" w:color="auto" w:fill="FFFFFF"/>
        </w:rPr>
        <w:t xml:space="preserve"> J Immunol. 2006; 177(4):2638-50. </w:t>
      </w:r>
    </w:p>
    <w:p w14:paraId="6C79BC99"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Rempe R, Hrtz A, Bauer B. </w:t>
      </w:r>
      <w:hyperlink r:id="rId38" w:history="1">
        <w:r>
          <w:rPr>
            <w:rStyle w:val="Hyperlink11"/>
            <w:rFonts w:ascii="Times New Roman" w:hAnsi="Times New Roman"/>
            <w:sz w:val="24"/>
            <w:szCs w:val="24"/>
          </w:rPr>
          <w:t>Matrix metalloproteinases in the brain and blood-brain barrier: Versatile breakers and makers.</w:t>
        </w:r>
      </w:hyperlink>
      <w:r>
        <w:rPr>
          <w:rStyle w:val="None"/>
          <w:rFonts w:ascii="Times New Roman" w:hAnsi="Times New Roman"/>
          <w:sz w:val="24"/>
          <w:szCs w:val="24"/>
          <w:shd w:val="clear" w:color="auto" w:fill="FFFFFF"/>
        </w:rPr>
        <w:t xml:space="preserve"> J Cereb Blood Flow Metab. 2016; 36(9):1481-507. doi: 10.1177/0271678X16655551. </w:t>
      </w:r>
    </w:p>
    <w:p w14:paraId="1545343E"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Yabluchanskiy A, Ma Y, Iyer R, Hall M, Lindsey M. </w:t>
      </w:r>
      <w:hyperlink r:id="rId39" w:history="1">
        <w:r>
          <w:rPr>
            <w:rStyle w:val="Hyperlink11"/>
            <w:rFonts w:ascii="Times New Roman" w:hAnsi="Times New Roman"/>
            <w:sz w:val="24"/>
            <w:szCs w:val="24"/>
          </w:rPr>
          <w:t>Matrix metalloproteinase-9: Many shades of function in cardiovascular disease.</w:t>
        </w:r>
      </w:hyperlink>
      <w:r>
        <w:rPr>
          <w:rStyle w:val="None"/>
          <w:rFonts w:ascii="Times New Roman" w:hAnsi="Times New Roman"/>
          <w:sz w:val="24"/>
          <w:szCs w:val="24"/>
          <w:shd w:val="clear" w:color="auto" w:fill="FFFFFF"/>
        </w:rPr>
        <w:t xml:space="preserve"> Physiology (Bethesda). 2013; 28(6):391-403. doi: 10.1152/physiol.00029.2013. </w:t>
      </w:r>
    </w:p>
    <w:p w14:paraId="1AF1EF57"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Rose B, Kooyman D. </w:t>
      </w:r>
      <w:hyperlink r:id="rId40" w:history="1">
        <w:r>
          <w:rPr>
            <w:rStyle w:val="Hyperlink11"/>
            <w:rFonts w:ascii="Times New Roman" w:hAnsi="Times New Roman"/>
            <w:sz w:val="24"/>
            <w:szCs w:val="24"/>
          </w:rPr>
          <w:t>A Tale of Two Joints: The Role of Matrix Metalloproteases in Cartilage Biology.</w:t>
        </w:r>
      </w:hyperlink>
      <w:r>
        <w:rPr>
          <w:rStyle w:val="None"/>
          <w:rFonts w:ascii="Times New Roman" w:hAnsi="Times New Roman"/>
          <w:sz w:val="24"/>
          <w:szCs w:val="24"/>
          <w:shd w:val="clear" w:color="auto" w:fill="FFFFFF"/>
        </w:rPr>
        <w:t xml:space="preserve"> Dis Markers. 2016; 2016:4895050. doi: 10.1155/2016/4895050. </w:t>
      </w:r>
    </w:p>
    <w:p w14:paraId="4E7794A7"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Chen X, Li Y. </w:t>
      </w:r>
      <w:hyperlink r:id="rId41" w:history="1">
        <w:r>
          <w:rPr>
            <w:rStyle w:val="Hyperlink11"/>
            <w:rFonts w:ascii="Times New Roman" w:hAnsi="Times New Roman"/>
            <w:sz w:val="24"/>
            <w:szCs w:val="24"/>
          </w:rPr>
          <w:t>Role of matrix metalloproteinases in skeletal muscle: migration, differentiation, regeneration and fibrosis.</w:t>
        </w:r>
      </w:hyperlink>
      <w:r>
        <w:rPr>
          <w:rStyle w:val="None"/>
          <w:rFonts w:ascii="Times New Roman" w:hAnsi="Times New Roman"/>
          <w:sz w:val="24"/>
          <w:szCs w:val="24"/>
          <w:shd w:val="clear" w:color="auto" w:fill="FFFFFF"/>
        </w:rPr>
        <w:t xml:space="preserve"> Cell Adh Migr. 2009; 3(4):337-41. </w:t>
      </w:r>
    </w:p>
    <w:p w14:paraId="5C8E9F69" w14:textId="77777777" w:rsidR="00185232" w:rsidRDefault="006074F5" w:rsidP="00466750">
      <w:pPr>
        <w:pStyle w:val="NormalWeb"/>
        <w:numPr>
          <w:ilvl w:val="0"/>
          <w:numId w:val="28"/>
        </w:numPr>
        <w:spacing w:before="165" w:after="0"/>
        <w:jc w:val="both"/>
      </w:pPr>
      <w:r>
        <w:rPr>
          <w:rStyle w:val="None"/>
          <w:shd w:val="clear" w:color="auto" w:fill="FFFFFF"/>
        </w:rPr>
        <w:t>Lakhan S, Avramut M. </w:t>
      </w:r>
      <w:hyperlink r:id="rId42" w:history="1">
        <w:r>
          <w:rPr>
            <w:rStyle w:val="Hyperlink11"/>
          </w:rPr>
          <w:t>Matrix metalloproteinases in neuropathic pain and migraine: friends, enemies, and therapeutic targets.</w:t>
        </w:r>
      </w:hyperlink>
      <w:r>
        <w:rPr>
          <w:rStyle w:val="Hyperlink11"/>
        </w:rPr>
        <w:t xml:space="preserve"> </w:t>
      </w:r>
      <w:r>
        <w:rPr>
          <w:rStyle w:val="None"/>
          <w:shd w:val="clear" w:color="auto" w:fill="FFFFFF"/>
        </w:rPr>
        <w:t xml:space="preserve">Pain Res Treat. 2012; 2012:952906. doi: 10.1155/2012/952906. </w:t>
      </w:r>
    </w:p>
    <w:p w14:paraId="668669B1"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Shoemaker R, House D. </w:t>
      </w:r>
      <w:hyperlink r:id="rId43" w:history="1">
        <w:r>
          <w:rPr>
            <w:rStyle w:val="Hyperlink11"/>
            <w:rFonts w:ascii="Times New Roman" w:hAnsi="Times New Roman"/>
            <w:sz w:val="24"/>
            <w:szCs w:val="24"/>
          </w:rPr>
          <w:t>Sick building syndrome (SBS) and exposure to water-damaged buildings: time series study, clinical trial and mechanisms.</w:t>
        </w:r>
      </w:hyperlink>
      <w:r>
        <w:rPr>
          <w:rStyle w:val="None"/>
          <w:rFonts w:ascii="Times New Roman" w:hAnsi="Times New Roman"/>
          <w:sz w:val="24"/>
          <w:szCs w:val="24"/>
          <w:shd w:val="clear" w:color="auto" w:fill="FFFFFF"/>
        </w:rPr>
        <w:t xml:space="preserve"> Neurotoxicol Teratol. 2006 Sep-Oct; 28(5):573-88. </w:t>
      </w:r>
    </w:p>
    <w:p w14:paraId="4D919061" w14:textId="77777777" w:rsidR="00185232" w:rsidRDefault="006074F5" w:rsidP="00466750">
      <w:pPr>
        <w:pStyle w:val="NormalWeb"/>
        <w:numPr>
          <w:ilvl w:val="0"/>
          <w:numId w:val="28"/>
        </w:numPr>
        <w:spacing w:before="165" w:after="0"/>
        <w:jc w:val="both"/>
      </w:pPr>
      <w:r>
        <w:rPr>
          <w:rStyle w:val="None"/>
          <w:shd w:val="clear" w:color="auto" w:fill="FFFFFF"/>
        </w:rPr>
        <w:t>Iikuni N, Lam Q, Lu L, Matarese G, La Cava A. </w:t>
      </w:r>
      <w:hyperlink r:id="rId44" w:history="1">
        <w:r>
          <w:rPr>
            <w:rStyle w:val="Hyperlink11"/>
          </w:rPr>
          <w:t>Leptin and Inflammation.</w:t>
        </w:r>
      </w:hyperlink>
      <w:r>
        <w:rPr>
          <w:rStyle w:val="None"/>
          <w:shd w:val="clear" w:color="auto" w:fill="FFFFFF"/>
        </w:rPr>
        <w:t xml:space="preserve"> Curr Immunol Rev. 2008; 4(2):70-79.  </w:t>
      </w:r>
    </w:p>
    <w:p w14:paraId="645CB459"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 xml:space="preserve">Park H, Ahima RS. Leptin Signaling. F1000 Prime Reports. </w:t>
      </w:r>
      <w:r>
        <w:rPr>
          <w:rFonts w:ascii="Times New Roman" w:hAnsi="Times New Roman"/>
          <w:sz w:val="24"/>
          <w:szCs w:val="24"/>
        </w:rPr>
        <w:t>2014; 6:73. doi:10.12703/P6-73</w:t>
      </w:r>
    </w:p>
    <w:p w14:paraId="537FB5BD"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D'Agostino G, Diano S. </w:t>
      </w:r>
      <w:hyperlink r:id="rId45" w:history="1">
        <w:r>
          <w:rPr>
            <w:rStyle w:val="Hyperlink11"/>
            <w:rFonts w:ascii="Times New Roman" w:hAnsi="Times New Roman"/>
            <w:sz w:val="24"/>
            <w:szCs w:val="24"/>
          </w:rPr>
          <w:t>Alpha-melanocyte stimulating hormone: production and degradation.</w:t>
        </w:r>
      </w:hyperlink>
      <w:r>
        <w:rPr>
          <w:rStyle w:val="None"/>
          <w:rFonts w:ascii="Times New Roman" w:hAnsi="Times New Roman"/>
          <w:sz w:val="24"/>
          <w:szCs w:val="24"/>
          <w:shd w:val="clear" w:color="auto" w:fill="FFFFFF"/>
        </w:rPr>
        <w:t xml:space="preserve"> J Mol Med (Berl). 2010; 88(12):1195-201. doi: 10.1007/s00109-010-0651-0. </w:t>
      </w:r>
    </w:p>
    <w:p w14:paraId="656BF3B7"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None"/>
          <w:rFonts w:ascii="Times New Roman" w:hAnsi="Times New Roman"/>
          <w:sz w:val="24"/>
          <w:szCs w:val="24"/>
          <w:shd w:val="clear" w:color="auto" w:fill="FFFFFF"/>
        </w:rPr>
        <w:t>Harris R. </w:t>
      </w:r>
      <w:hyperlink r:id="rId46" w:history="1">
        <w:r>
          <w:rPr>
            <w:rStyle w:val="Hyperlink12"/>
            <w:rFonts w:ascii="Times New Roman" w:hAnsi="Times New Roman"/>
            <w:sz w:val="24"/>
            <w:szCs w:val="24"/>
          </w:rPr>
          <w:t>Direct and indirect effects of leptin on adipocyte metabolism.</w:t>
        </w:r>
      </w:hyperlink>
      <w:r>
        <w:rPr>
          <w:rStyle w:val="Hyperlink12"/>
          <w:rFonts w:ascii="Times New Roman" w:hAnsi="Times New Roman"/>
          <w:sz w:val="24"/>
          <w:szCs w:val="24"/>
        </w:rPr>
        <w:t xml:space="preserve"> Biochim Biophys Acta. 2014; 1842(3):414-23. doi: 10.1016/j.bbadis.2013.05.009.  </w:t>
      </w:r>
    </w:p>
    <w:p w14:paraId="7971AE6F"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 xml:space="preserve">Shoemaker R.  Surviving Mold: Life in the Era of Dangerous Buildings.  Baltimore, MD: Otter Bay Books; 2010.  </w:t>
      </w:r>
    </w:p>
    <w:p w14:paraId="193DDB4D"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Singh M, Mukhopadhyay K. </w:t>
      </w:r>
      <w:hyperlink r:id="rId47" w:history="1">
        <w:r>
          <w:rPr>
            <w:rStyle w:val="Hyperlink11"/>
            <w:rFonts w:ascii="Times New Roman" w:hAnsi="Times New Roman"/>
            <w:sz w:val="24"/>
            <w:szCs w:val="24"/>
          </w:rPr>
          <w:t>Alpha-melanocyte stimulating hormone: an emerging anti-inflammatory antimicrobial peptide.</w:t>
        </w:r>
      </w:hyperlink>
      <w:r>
        <w:rPr>
          <w:rStyle w:val="Hyperlink12"/>
          <w:rFonts w:ascii="Times New Roman" w:hAnsi="Times New Roman"/>
          <w:sz w:val="24"/>
          <w:szCs w:val="24"/>
        </w:rPr>
        <w:t xml:space="preserve"> Biomed Res Int. 2014; 02014:874610. doi: 10.1155/2014/874610. </w:t>
      </w:r>
    </w:p>
    <w:p w14:paraId="7512DFED"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Denis C, Kwack K, Saffaripour S, Maganti S, André P, Schaub R, Wagner D. </w:t>
      </w:r>
      <w:hyperlink r:id="rId48" w:history="1">
        <w:r>
          <w:rPr>
            <w:rStyle w:val="Hyperlink11"/>
            <w:rFonts w:ascii="Times New Roman" w:hAnsi="Times New Roman"/>
            <w:sz w:val="24"/>
            <w:szCs w:val="24"/>
          </w:rPr>
          <w:t>Interleukin 11 significantly increases plasma von Willebrand factor and factor VIII in wild type and von Willebrand disease mouse models.</w:t>
        </w:r>
      </w:hyperlink>
      <w:r>
        <w:rPr>
          <w:rStyle w:val="Hyperlink12"/>
          <w:rFonts w:ascii="Times New Roman" w:hAnsi="Times New Roman"/>
          <w:sz w:val="24"/>
          <w:szCs w:val="24"/>
        </w:rPr>
        <w:t xml:space="preserve"> Blood. 2001 Jan 15; 97(2):465-72. </w:t>
      </w:r>
    </w:p>
    <w:p w14:paraId="702587D2" w14:textId="77777777" w:rsidR="00185232" w:rsidRDefault="006074F5" w:rsidP="00466750">
      <w:pPr>
        <w:pStyle w:val="ListParagraph"/>
        <w:numPr>
          <w:ilvl w:val="0"/>
          <w:numId w:val="28"/>
        </w:numPr>
        <w:spacing w:after="160"/>
        <w:jc w:val="both"/>
        <w:rPr>
          <w:rFonts w:ascii="Times New Roman" w:hAnsi="Times New Roman"/>
          <w:sz w:val="24"/>
          <w:szCs w:val="24"/>
        </w:rPr>
      </w:pPr>
      <w:r>
        <w:rPr>
          <w:rFonts w:ascii="Times New Roman" w:hAnsi="Times New Roman"/>
          <w:sz w:val="24"/>
          <w:szCs w:val="24"/>
        </w:rPr>
        <w:t>Shoemaker R, Maizel M. Exposure to Interior Environments of Water-Damaged Buildings Causes a CFS-like Illness in Pediatric Patients: A Case/Control Study. Bulletin of the IACFS/ME. 2009; 17(2).</w:t>
      </w:r>
    </w:p>
    <w:p w14:paraId="6AD885E3"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Dawson D, Martin D, Hallenbeck J. </w:t>
      </w:r>
      <w:hyperlink r:id="rId49" w:history="1">
        <w:r>
          <w:rPr>
            <w:rStyle w:val="Hyperlink11"/>
            <w:rFonts w:ascii="Times New Roman" w:hAnsi="Times New Roman"/>
            <w:sz w:val="24"/>
            <w:szCs w:val="24"/>
          </w:rPr>
          <w:t>Inhibition of tumor necrosis factor-alpha reduces focal cerebral ischemic injury in the spontaneously hypertensive rat.</w:t>
        </w:r>
      </w:hyperlink>
      <w:r>
        <w:rPr>
          <w:rStyle w:val="Hyperlink12"/>
          <w:rFonts w:ascii="Times New Roman" w:hAnsi="Times New Roman"/>
          <w:sz w:val="24"/>
          <w:szCs w:val="24"/>
        </w:rPr>
        <w:t xml:space="preserve"> Neurosci Lett. 1996; 218(1):41-4. </w:t>
      </w:r>
    </w:p>
    <w:p w14:paraId="0F954663"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Sibson N, Blamire A, Perry V, Gauldie J, Styles P, Anthony D. </w:t>
      </w:r>
      <w:hyperlink r:id="rId50" w:history="1">
        <w:r>
          <w:rPr>
            <w:rStyle w:val="Hyperlink12"/>
            <w:rFonts w:ascii="Times New Roman" w:hAnsi="Times New Roman"/>
            <w:sz w:val="24"/>
            <w:szCs w:val="24"/>
          </w:rPr>
          <w:t>TNF-alpha reduces cerebral blood volume and disrupts tissue homeostasis via an endothelin- and TNFR2-dependent pathway.</w:t>
        </w:r>
      </w:hyperlink>
      <w:r>
        <w:rPr>
          <w:rStyle w:val="Hyperlink12"/>
          <w:rFonts w:ascii="Times New Roman" w:hAnsi="Times New Roman"/>
          <w:sz w:val="24"/>
          <w:szCs w:val="24"/>
        </w:rPr>
        <w:t xml:space="preserve"> Brain. 2002; 125(Pt 11):2446-59. </w:t>
      </w:r>
    </w:p>
    <w:p w14:paraId="6CB9ED3F"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 xml:space="preserve">Granger D, Senchenkova E. </w:t>
      </w:r>
      <w:r>
        <w:rPr>
          <w:rStyle w:val="None"/>
          <w:rFonts w:ascii="Times New Roman" w:hAnsi="Times New Roman"/>
          <w:i/>
          <w:iCs/>
          <w:sz w:val="24"/>
          <w:szCs w:val="24"/>
          <w:shd w:val="clear" w:color="auto" w:fill="FFFFFF"/>
        </w:rPr>
        <w:t>Inflammation and the Microcirculation</w:t>
      </w:r>
      <w:r>
        <w:rPr>
          <w:rStyle w:val="Hyperlink12"/>
          <w:rFonts w:ascii="Times New Roman" w:hAnsi="Times New Roman"/>
          <w:sz w:val="24"/>
          <w:szCs w:val="24"/>
        </w:rPr>
        <w:t xml:space="preserve">. San Rafael, CA: Morgan &amp; Claypool Life Sciences; 2010. Chapter 7, Leukocyte–Endothelial Cell Adhesion.  </w:t>
      </w:r>
      <w:hyperlink r:id="rId51" w:history="1">
        <w:r>
          <w:rPr>
            <w:rStyle w:val="Hyperlink11"/>
            <w:rFonts w:ascii="Times New Roman" w:hAnsi="Times New Roman"/>
            <w:sz w:val="24"/>
            <w:szCs w:val="24"/>
          </w:rPr>
          <w:t>https://www.ncbi.nlm.nih.gov/books/NBK53380/</w:t>
        </w:r>
      </w:hyperlink>
      <w:r>
        <w:rPr>
          <w:rStyle w:val="Hyperlink11"/>
          <w:rFonts w:ascii="Times New Roman" w:hAnsi="Times New Roman"/>
          <w:sz w:val="24"/>
          <w:szCs w:val="24"/>
        </w:rPr>
        <w:t xml:space="preserve"> retrieved on 3/3/18</w:t>
      </w:r>
    </w:p>
    <w:p w14:paraId="33CF8D50"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Ramakrishnan S, Anand V, Roy S. </w:t>
      </w:r>
      <w:hyperlink r:id="rId52" w:history="1">
        <w:r>
          <w:rPr>
            <w:rStyle w:val="Hyperlink11"/>
            <w:rFonts w:ascii="Times New Roman" w:hAnsi="Times New Roman"/>
            <w:sz w:val="24"/>
            <w:szCs w:val="24"/>
          </w:rPr>
          <w:t>Vascular endothelial growth factor signaling in hypoxia and inflammation.</w:t>
        </w:r>
      </w:hyperlink>
      <w:r>
        <w:rPr>
          <w:rStyle w:val="Hyperlink12"/>
          <w:rFonts w:ascii="Times New Roman" w:hAnsi="Times New Roman"/>
          <w:sz w:val="24"/>
          <w:szCs w:val="24"/>
        </w:rPr>
        <w:t xml:space="preserve"> J Neuroimmune Pharmacol. 201; 9(2):142-60. doi: 10.1007/s11481-014-9531-7. </w:t>
      </w:r>
    </w:p>
    <w:p w14:paraId="3C6D009E"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Copple B. </w:t>
      </w:r>
      <w:hyperlink r:id="rId53" w:history="1">
        <w:r>
          <w:rPr>
            <w:rStyle w:val="Hyperlink11"/>
            <w:rFonts w:ascii="Times New Roman" w:hAnsi="Times New Roman"/>
            <w:sz w:val="24"/>
            <w:szCs w:val="24"/>
          </w:rPr>
          <w:t>Hypoxia stimulates hepatocyte epithelial to mesenchymal transition by hypoxia-inducible factor and transforming growth factor-beta-dependent mechanisms.</w:t>
        </w:r>
      </w:hyperlink>
      <w:r>
        <w:rPr>
          <w:rStyle w:val="Hyperlink12"/>
          <w:rFonts w:ascii="Times New Roman" w:hAnsi="Times New Roman"/>
          <w:sz w:val="24"/>
          <w:szCs w:val="24"/>
        </w:rPr>
        <w:t xml:space="preserve"> Liver Int. 2010; 30(5):669-82. doi: 10.1111/j.1478-3231.2010.02205.x. </w:t>
      </w:r>
    </w:p>
    <w:p w14:paraId="3CBD7CF9"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Spilsbury K, Garrett K, Shen W, Constable I, Rakoczy P. </w:t>
      </w:r>
      <w:hyperlink r:id="rId54" w:history="1">
        <w:r>
          <w:rPr>
            <w:rStyle w:val="Hyperlink11"/>
            <w:rFonts w:ascii="Times New Roman" w:hAnsi="Times New Roman"/>
            <w:sz w:val="24"/>
            <w:szCs w:val="24"/>
          </w:rPr>
          <w:t>Overexpression of vascular endothelial growth factor (VEGF) in the retinal pigment epithelium leads to the development of choroidal neovascularization.</w:t>
        </w:r>
      </w:hyperlink>
      <w:r>
        <w:rPr>
          <w:rStyle w:val="Hyperlink12"/>
          <w:rFonts w:ascii="Times New Roman" w:hAnsi="Times New Roman"/>
          <w:sz w:val="24"/>
          <w:szCs w:val="24"/>
        </w:rPr>
        <w:t xml:space="preserve"> Am J Pathol. 2000; 157(1):135-44. Erratum in: Am J Pathol 2000 Oct; 157(4):1413. </w:t>
      </w:r>
    </w:p>
    <w:p w14:paraId="4C70328D"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Azzouz M, Ralph G, Storkebaum E, Walmsley L, Mitrophanous K, Kingsman S, Carmeliet P, Mazarakis N. </w:t>
      </w:r>
      <w:hyperlink r:id="rId55" w:history="1">
        <w:r>
          <w:rPr>
            <w:rStyle w:val="Hyperlink11"/>
            <w:rFonts w:ascii="Times New Roman" w:hAnsi="Times New Roman"/>
            <w:sz w:val="24"/>
            <w:szCs w:val="24"/>
          </w:rPr>
          <w:t>VEGF delivery with retrogradely transported lentivector prolongs survival in a mouse ALS model.</w:t>
        </w:r>
      </w:hyperlink>
      <w:r>
        <w:rPr>
          <w:rStyle w:val="Hyperlink12"/>
          <w:rFonts w:ascii="Times New Roman" w:hAnsi="Times New Roman"/>
          <w:sz w:val="24"/>
          <w:szCs w:val="24"/>
        </w:rPr>
        <w:t> </w:t>
      </w:r>
      <w:r>
        <w:rPr>
          <w:rStyle w:val="None"/>
          <w:rFonts w:ascii="Times New Roman" w:hAnsi="Times New Roman"/>
          <w:i/>
          <w:iCs/>
          <w:sz w:val="24"/>
          <w:szCs w:val="24"/>
          <w:shd w:val="clear" w:color="auto" w:fill="FFFFFF"/>
        </w:rPr>
        <w:t>Nature.</w:t>
      </w:r>
      <w:r>
        <w:rPr>
          <w:rStyle w:val="Hyperlink12"/>
          <w:rFonts w:ascii="Times New Roman" w:hAnsi="Times New Roman"/>
          <w:sz w:val="24"/>
          <w:szCs w:val="24"/>
        </w:rPr>
        <w:t xml:space="preserve"> 2004; 429(6990):413-7. </w:t>
      </w:r>
    </w:p>
    <w:p w14:paraId="075019C0"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Shoemaker R, House D, Ryan J. </w:t>
      </w:r>
      <w:hyperlink r:id="rId56" w:history="1">
        <w:r>
          <w:rPr>
            <w:rStyle w:val="Hyperlink12"/>
            <w:rFonts w:ascii="Times New Roman" w:hAnsi="Times New Roman"/>
            <w:sz w:val="24"/>
            <w:szCs w:val="24"/>
          </w:rPr>
          <w:t>Structural brain abnormalities in patients with inflammatory illness acquired following exposure to water-damaged buildings: a volumetric MRI study using NeuroQuant®.</w:t>
        </w:r>
      </w:hyperlink>
      <w:r>
        <w:rPr>
          <w:rStyle w:val="Hyperlink12"/>
          <w:rFonts w:ascii="Times New Roman" w:hAnsi="Times New Roman"/>
          <w:sz w:val="24"/>
          <w:szCs w:val="24"/>
        </w:rPr>
        <w:t xml:space="preserve"> Neurotoxicol Teratol. 2014 Sep-Oct; 45:18-26. doi: 10.1016/j.ntt.2014.06.004. </w:t>
      </w:r>
    </w:p>
    <w:p w14:paraId="26F89C04" w14:textId="77777777" w:rsidR="00185232" w:rsidRDefault="006074F5" w:rsidP="00466750">
      <w:pPr>
        <w:pStyle w:val="ListParagraph"/>
        <w:numPr>
          <w:ilvl w:val="0"/>
          <w:numId w:val="28"/>
        </w:numPr>
        <w:spacing w:after="160"/>
        <w:jc w:val="both"/>
        <w:rPr>
          <w:sz w:val="24"/>
          <w:szCs w:val="24"/>
        </w:rPr>
      </w:pPr>
      <w:r>
        <w:rPr>
          <w:rStyle w:val="None"/>
          <w:rFonts w:ascii="Times New Roman" w:hAnsi="Times New Roman"/>
          <w:sz w:val="24"/>
          <w:szCs w:val="24"/>
          <w:shd w:val="clear" w:color="auto" w:fill="FFFFFF"/>
        </w:rPr>
        <w:t xml:space="preserve">Shoemaker R. Mold Warriors: Fighting America’s Hidden Health Threat. Baltimore, MD:  Otter Bay Books; 2005. </w:t>
      </w:r>
    </w:p>
    <w:p w14:paraId="2A8600F3" w14:textId="77777777" w:rsidR="00185232" w:rsidRPr="000B7580" w:rsidRDefault="006074F5" w:rsidP="00466750">
      <w:pPr>
        <w:pStyle w:val="ListParagraph"/>
        <w:numPr>
          <w:ilvl w:val="0"/>
          <w:numId w:val="28"/>
        </w:numPr>
        <w:spacing w:after="160"/>
        <w:jc w:val="both"/>
        <w:rPr>
          <w:rFonts w:ascii="Times New Roman" w:hAnsi="Times New Roman"/>
          <w:sz w:val="24"/>
          <w:szCs w:val="24"/>
        </w:rPr>
      </w:pPr>
      <w:r w:rsidRPr="000B7580">
        <w:rPr>
          <w:rStyle w:val="Hyperlink12"/>
          <w:rFonts w:ascii="Times New Roman" w:hAnsi="Times New Roman"/>
          <w:sz w:val="24"/>
          <w:szCs w:val="24"/>
        </w:rPr>
        <w:t>McMahon S, Charbonneau M, Grandmont S, Richard D, Dubois C. </w:t>
      </w:r>
      <w:hyperlink r:id="rId57" w:history="1">
        <w:r w:rsidRPr="000B7580">
          <w:rPr>
            <w:rStyle w:val="Hyperlink12"/>
            <w:rFonts w:ascii="Times New Roman" w:hAnsi="Times New Roman"/>
            <w:sz w:val="24"/>
            <w:szCs w:val="24"/>
          </w:rPr>
          <w:t>Transforming growth factor beta1 induces hypoxia-inducible factor-1 stabilization through selective inhibition of PHD2 expression.</w:t>
        </w:r>
      </w:hyperlink>
      <w:r w:rsidRPr="000B7580">
        <w:rPr>
          <w:rStyle w:val="Hyperlink12"/>
          <w:rFonts w:ascii="Times New Roman" w:hAnsi="Times New Roman"/>
          <w:sz w:val="24"/>
          <w:szCs w:val="24"/>
        </w:rPr>
        <w:t xml:space="preserve"> J Biol Chem. 2006; 281(34):24171-81. </w:t>
      </w:r>
    </w:p>
    <w:p w14:paraId="71DF264B" w14:textId="77777777" w:rsidR="00185232" w:rsidRDefault="006074F5" w:rsidP="00466750">
      <w:pPr>
        <w:pStyle w:val="ListParagraph"/>
        <w:numPr>
          <w:ilvl w:val="0"/>
          <w:numId w:val="28"/>
        </w:numPr>
        <w:shd w:val="clear" w:color="auto" w:fill="FFFFFF"/>
        <w:spacing w:after="0"/>
        <w:jc w:val="both"/>
        <w:rPr>
          <w:rFonts w:ascii="Times New Roman" w:hAnsi="Times New Roman"/>
          <w:sz w:val="24"/>
          <w:szCs w:val="24"/>
        </w:rPr>
      </w:pPr>
      <w:r>
        <w:rPr>
          <w:rFonts w:ascii="Times New Roman" w:hAnsi="Times New Roman"/>
          <w:sz w:val="24"/>
          <w:szCs w:val="24"/>
        </w:rPr>
        <w:t>Ijaz T, Pazdrak K, Kalita M, Konig R, Choudhary S, Tian B, Boldogh I, Brasier A. </w:t>
      </w:r>
      <w:hyperlink r:id="rId58" w:history="1">
        <w:r>
          <w:rPr>
            <w:rFonts w:ascii="Times New Roman" w:hAnsi="Times New Roman"/>
            <w:sz w:val="24"/>
            <w:szCs w:val="24"/>
          </w:rPr>
          <w:t>Systems biology approaches to understanding Epithelial Mesenchymal Transition (EMT) in mucosal remodeling and signaling in asthma.</w:t>
        </w:r>
      </w:hyperlink>
      <w:r>
        <w:rPr>
          <w:rFonts w:ascii="Times New Roman" w:hAnsi="Times New Roman"/>
          <w:sz w:val="24"/>
          <w:szCs w:val="24"/>
        </w:rPr>
        <w:t xml:space="preserve"> World Allergy Organ J. 2014; 7(1):13. doi: 10.1186/1939-4551-7-13. </w:t>
      </w:r>
    </w:p>
    <w:p w14:paraId="668864E5" w14:textId="77777777" w:rsidR="000B7580" w:rsidRPr="000B7580" w:rsidRDefault="006074F5" w:rsidP="00466750">
      <w:pPr>
        <w:pStyle w:val="ListParagraph"/>
        <w:numPr>
          <w:ilvl w:val="0"/>
          <w:numId w:val="28"/>
        </w:numPr>
        <w:spacing w:after="160"/>
        <w:jc w:val="both"/>
        <w:rPr>
          <w:rStyle w:val="Hyperlink12"/>
          <w:rFonts w:ascii="Times New Roman" w:hAnsi="Times New Roman"/>
          <w:sz w:val="24"/>
          <w:szCs w:val="24"/>
          <w:shd w:val="clear" w:color="auto" w:fill="auto"/>
        </w:rPr>
      </w:pPr>
      <w:r w:rsidRPr="000B7580">
        <w:rPr>
          <w:rStyle w:val="Hyperlink12"/>
          <w:rFonts w:ascii="Times New Roman" w:hAnsi="Times New Roman"/>
          <w:sz w:val="24"/>
          <w:szCs w:val="24"/>
        </w:rPr>
        <w:t>Tatler A, Jenkins G. </w:t>
      </w:r>
      <w:hyperlink r:id="rId59" w:history="1">
        <w:r w:rsidRPr="000B7580">
          <w:rPr>
            <w:rStyle w:val="Hyperlink11"/>
            <w:rFonts w:ascii="Times New Roman" w:hAnsi="Times New Roman"/>
            <w:sz w:val="24"/>
            <w:szCs w:val="24"/>
          </w:rPr>
          <w:t>TGF-β activation and lung fibrosis.</w:t>
        </w:r>
      </w:hyperlink>
      <w:r w:rsidRPr="000B7580">
        <w:rPr>
          <w:rStyle w:val="Hyperlink12"/>
          <w:rFonts w:ascii="Times New Roman" w:hAnsi="Times New Roman"/>
          <w:sz w:val="24"/>
          <w:szCs w:val="24"/>
        </w:rPr>
        <w:t xml:space="preserve"> Proc Am Thorac Soc. 2012; 9(3):130-6. doi: 10.1513/pats.201201-003AW. </w:t>
      </w:r>
    </w:p>
    <w:p w14:paraId="0A548DF3" w14:textId="19938567" w:rsidR="00185232" w:rsidRPr="000B7580" w:rsidRDefault="006074F5" w:rsidP="00466750">
      <w:pPr>
        <w:pStyle w:val="ListParagraph"/>
        <w:numPr>
          <w:ilvl w:val="0"/>
          <w:numId w:val="28"/>
        </w:numPr>
        <w:spacing w:after="160"/>
        <w:jc w:val="both"/>
        <w:rPr>
          <w:rFonts w:ascii="Times New Roman" w:hAnsi="Times New Roman"/>
          <w:sz w:val="24"/>
          <w:szCs w:val="24"/>
        </w:rPr>
      </w:pPr>
      <w:r w:rsidRPr="000B7580">
        <w:rPr>
          <w:rStyle w:val="Hyperlink12"/>
          <w:rFonts w:ascii="Times New Roman" w:hAnsi="Times New Roman"/>
          <w:sz w:val="24"/>
          <w:szCs w:val="24"/>
        </w:rPr>
        <w:t>Argaw A, Gurfein B, Zhang Y, Zameer A, John G. </w:t>
      </w:r>
      <w:hyperlink r:id="rId60" w:history="1">
        <w:r w:rsidRPr="000B7580">
          <w:rPr>
            <w:rStyle w:val="Hyperlink11"/>
            <w:rFonts w:ascii="Times New Roman" w:hAnsi="Times New Roman"/>
            <w:sz w:val="24"/>
            <w:szCs w:val="24"/>
          </w:rPr>
          <w:t>VEGF-mediated disruption of endothelial CLN-5 promotes blood-brain barrier breakdown.</w:t>
        </w:r>
      </w:hyperlink>
      <w:r w:rsidRPr="000B7580">
        <w:rPr>
          <w:rStyle w:val="Hyperlink12"/>
          <w:rFonts w:ascii="Times New Roman" w:hAnsi="Times New Roman"/>
          <w:sz w:val="24"/>
          <w:szCs w:val="24"/>
        </w:rPr>
        <w:t xml:space="preserve"> Proc Natl Acad Sci U S A. 2009; 106(6):1977-82. doi: 10.1073/pnas.0808698106. </w:t>
      </w:r>
    </w:p>
    <w:p w14:paraId="68D64F7C" w14:textId="77777777" w:rsidR="00185232" w:rsidRDefault="006074F5" w:rsidP="00466750">
      <w:pPr>
        <w:pStyle w:val="NormalWeb"/>
        <w:numPr>
          <w:ilvl w:val="0"/>
          <w:numId w:val="28"/>
        </w:numPr>
        <w:spacing w:before="165" w:after="0"/>
        <w:jc w:val="both"/>
      </w:pPr>
      <w:r>
        <w:rPr>
          <w:rStyle w:val="Hyperlink12"/>
        </w:rPr>
        <w:t>Dohgu S, Yamauchi A, Takata F, Naito M, Tsuruo T, Higuchi S, Sawada Y, Kataoka Y. </w:t>
      </w:r>
      <w:hyperlink r:id="rId61" w:history="1">
        <w:r>
          <w:rPr>
            <w:rStyle w:val="Hyperlink11"/>
          </w:rPr>
          <w:t>Transforming growth factor-beta1 upregulates the tight junction and P-glycoprotein of brain microvascular endothelial cells.</w:t>
        </w:r>
      </w:hyperlink>
      <w:r>
        <w:rPr>
          <w:rStyle w:val="Hyperlink12"/>
        </w:rPr>
        <w:t xml:space="preserve"> Cell Mol Neurobiol. 2004; 24(3):491-7. </w:t>
      </w:r>
    </w:p>
    <w:p w14:paraId="00B42855"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Yoshimura A, Suzuki M, Sakaguchi R, Hanada T, Yasukawa H. </w:t>
      </w:r>
      <w:hyperlink r:id="rId62" w:history="1">
        <w:r>
          <w:rPr>
            <w:rStyle w:val="Hyperlink11"/>
            <w:rFonts w:ascii="Times New Roman" w:hAnsi="Times New Roman"/>
            <w:sz w:val="24"/>
            <w:szCs w:val="24"/>
          </w:rPr>
          <w:t>SOCS, Inflammation, and Autoimmunity.</w:t>
        </w:r>
      </w:hyperlink>
      <w:r>
        <w:rPr>
          <w:rStyle w:val="Hyperlink12"/>
          <w:rFonts w:ascii="Times New Roman" w:hAnsi="Times New Roman"/>
          <w:sz w:val="24"/>
          <w:szCs w:val="24"/>
        </w:rPr>
        <w:t xml:space="preserve"> Frontiers in Immunology. 2012; 3:20. doi: 10.3389/fimmu.2012.00020. </w:t>
      </w:r>
    </w:p>
    <w:p w14:paraId="1A7C0804"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Shoemaker R, Giclas P, Crowder C, House D, Glovsky M. </w:t>
      </w:r>
      <w:hyperlink r:id="rId63" w:history="1">
        <w:r>
          <w:rPr>
            <w:rStyle w:val="Hyperlink12"/>
            <w:rFonts w:ascii="Times New Roman" w:hAnsi="Times New Roman"/>
            <w:sz w:val="24"/>
            <w:szCs w:val="24"/>
          </w:rPr>
          <w:t>Complement split products C3a and C4a are early markers of acute lyme disease in tick bite patients in the United States.</w:t>
        </w:r>
      </w:hyperlink>
      <w:r>
        <w:rPr>
          <w:rStyle w:val="Hyperlink12"/>
          <w:rFonts w:ascii="Times New Roman" w:hAnsi="Times New Roman"/>
          <w:sz w:val="24"/>
          <w:szCs w:val="24"/>
        </w:rPr>
        <w:t xml:space="preserve"> Int Arch Allergy Immunol. 2008; 146(3):255-61. doi: 10.1159/000116362. </w:t>
      </w:r>
    </w:p>
    <w:p w14:paraId="234C51B4"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Chapoval S, Dasgupta P, Dorsey N, Keegan AD. </w:t>
      </w:r>
      <w:hyperlink r:id="rId64" w:history="1">
        <w:r>
          <w:rPr>
            <w:rStyle w:val="Hyperlink11"/>
            <w:rFonts w:ascii="Times New Roman" w:hAnsi="Times New Roman"/>
            <w:sz w:val="24"/>
            <w:szCs w:val="24"/>
          </w:rPr>
          <w:t>Regulation of the T helper cell type 2 (Th2)/T regulatory cell (Treg) balance by IL-4 and STAT6.</w:t>
        </w:r>
      </w:hyperlink>
      <w:r>
        <w:rPr>
          <w:rStyle w:val="Hyperlink12"/>
          <w:rFonts w:ascii="Times New Roman" w:hAnsi="Times New Roman"/>
          <w:sz w:val="24"/>
          <w:szCs w:val="24"/>
        </w:rPr>
        <w:t xml:space="preserve"> J Leukoc Biol. 2010; 87(6):1011-8. doi: 10.1189/jlb.1209772. </w:t>
      </w:r>
    </w:p>
    <w:p w14:paraId="41E739F9"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Dejaco C, Duftner C, Grubeck-Loebenstein B, Schirmer M. </w:t>
      </w:r>
      <w:hyperlink r:id="rId65" w:history="1">
        <w:r>
          <w:rPr>
            <w:rStyle w:val="Hyperlink12"/>
            <w:rFonts w:ascii="Times New Roman" w:hAnsi="Times New Roman"/>
            <w:sz w:val="24"/>
            <w:szCs w:val="24"/>
          </w:rPr>
          <w:t>Imbalance of regulatory T cells in human autoimmune diseases.</w:t>
        </w:r>
      </w:hyperlink>
      <w:r>
        <w:rPr>
          <w:rStyle w:val="Hyperlink12"/>
          <w:rFonts w:ascii="Times New Roman" w:hAnsi="Times New Roman"/>
          <w:sz w:val="24"/>
          <w:szCs w:val="24"/>
        </w:rPr>
        <w:t xml:space="preserve"> Immunology. 2006; 117(3):289-300. </w:t>
      </w:r>
    </w:p>
    <w:p w14:paraId="5EA7E3E7"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Shu Y, Hu Q, Long H, Chang C, Lu Q, Xiao R. </w:t>
      </w:r>
      <w:hyperlink r:id="rId66" w:history="1">
        <w:r>
          <w:rPr>
            <w:rStyle w:val="Hyperlink12"/>
            <w:rFonts w:ascii="Times New Roman" w:hAnsi="Times New Roman"/>
            <w:sz w:val="24"/>
            <w:szCs w:val="24"/>
          </w:rPr>
          <w:t>Epigenetic Variability of CD4+CD25+ Tregs Contributes to the Pathogenesis of Autoimmune Diseases.</w:t>
        </w:r>
      </w:hyperlink>
      <w:r>
        <w:rPr>
          <w:rStyle w:val="Hyperlink12"/>
          <w:rFonts w:ascii="Times New Roman" w:hAnsi="Times New Roman"/>
          <w:sz w:val="24"/>
          <w:szCs w:val="24"/>
        </w:rPr>
        <w:t xml:space="preserve"> Clin Rev Allergy Immunol. 2017; 52(2):260-272. doi: 10.1007/s12016-016-8590-3. </w:t>
      </w:r>
    </w:p>
    <w:p w14:paraId="69DF005D"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Shoemaker R. T regulatory cells in chronic inflammatory response syndrome from water-damaged buildings (CIRS-WDB). PPT presentation. 2011, Sep 6. http://www.survivingmold.com/physician-section/members%20only%20downloads/Johanning_T%20regs_9_5_2011_MSM.ppt.pdf retrieved on 2/24/18</w:t>
      </w:r>
    </w:p>
    <w:p w14:paraId="2B1DDBC2"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Fu S, Zhang N, Yopp A, Chen D, Mao M, Chen D, Zhang H, Ding Y, Bromberg JS. </w:t>
      </w:r>
      <w:hyperlink r:id="rId67" w:history="1">
        <w:r>
          <w:rPr>
            <w:rStyle w:val="Hyperlink11"/>
            <w:rFonts w:ascii="Times New Roman" w:hAnsi="Times New Roman"/>
            <w:sz w:val="24"/>
            <w:szCs w:val="24"/>
          </w:rPr>
          <w:t>TGF-beta induces Foxp3 + T-regulatory cells from CD4 + CD25 - precursors.</w:t>
        </w:r>
      </w:hyperlink>
      <w:r>
        <w:rPr>
          <w:rStyle w:val="Hyperlink12"/>
          <w:rFonts w:ascii="Times New Roman" w:hAnsi="Times New Roman"/>
          <w:sz w:val="24"/>
          <w:szCs w:val="24"/>
        </w:rPr>
        <w:t xml:space="preserve"> Am J Transplant. 2004; 4(10):1614-27. </w:t>
      </w:r>
    </w:p>
    <w:p w14:paraId="33847180" w14:textId="77777777" w:rsidR="00185232" w:rsidRDefault="006074F5" w:rsidP="00466750">
      <w:pPr>
        <w:pStyle w:val="NormalWeb"/>
        <w:numPr>
          <w:ilvl w:val="0"/>
          <w:numId w:val="28"/>
        </w:numPr>
        <w:spacing w:before="165" w:after="0"/>
        <w:jc w:val="both"/>
      </w:pPr>
      <w:r>
        <w:rPr>
          <w:rStyle w:val="Hyperlink12"/>
        </w:rPr>
        <w:t xml:space="preserve">McMahon S. An evaluation of alternate means to diagnose Chronic Inflammatory Response Syndrome and determine prevalence. Medical Research Archives. 2017;5(3). </w:t>
      </w:r>
    </w:p>
    <w:p w14:paraId="7B031509" w14:textId="79628ED6"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Stricker B, Savely V, Motanya N, Giclas P. </w:t>
      </w:r>
      <w:hyperlink r:id="rId68" w:history="1">
        <w:r>
          <w:rPr>
            <w:rStyle w:val="Hyperlink11"/>
            <w:rFonts w:ascii="Times New Roman" w:hAnsi="Times New Roman"/>
            <w:sz w:val="24"/>
            <w:szCs w:val="24"/>
          </w:rPr>
          <w:t xml:space="preserve">Complement split products </w:t>
        </w:r>
        <w:r w:rsidR="00E556C8">
          <w:rPr>
            <w:rStyle w:val="Hyperlink11"/>
            <w:rFonts w:ascii="Times New Roman" w:hAnsi="Times New Roman"/>
            <w:sz w:val="24"/>
            <w:szCs w:val="24"/>
          </w:rPr>
          <w:t>C</w:t>
        </w:r>
        <w:r>
          <w:rPr>
            <w:rStyle w:val="Hyperlink11"/>
            <w:rFonts w:ascii="Times New Roman" w:hAnsi="Times New Roman"/>
            <w:sz w:val="24"/>
            <w:szCs w:val="24"/>
          </w:rPr>
          <w:t xml:space="preserve">3a and </w:t>
        </w:r>
        <w:r w:rsidR="00E556C8">
          <w:rPr>
            <w:rStyle w:val="Hyperlink11"/>
            <w:rFonts w:ascii="Times New Roman" w:hAnsi="Times New Roman"/>
            <w:sz w:val="24"/>
            <w:szCs w:val="24"/>
          </w:rPr>
          <w:t>C</w:t>
        </w:r>
        <w:r>
          <w:rPr>
            <w:rStyle w:val="Hyperlink11"/>
            <w:rFonts w:ascii="Times New Roman" w:hAnsi="Times New Roman"/>
            <w:sz w:val="24"/>
            <w:szCs w:val="24"/>
          </w:rPr>
          <w:t xml:space="preserve">4a in chronic </w:t>
        </w:r>
        <w:r w:rsidR="00E556C8">
          <w:rPr>
            <w:rStyle w:val="Hyperlink11"/>
            <w:rFonts w:ascii="Times New Roman" w:hAnsi="Times New Roman"/>
            <w:sz w:val="24"/>
            <w:szCs w:val="24"/>
          </w:rPr>
          <w:t>L</w:t>
        </w:r>
        <w:r>
          <w:rPr>
            <w:rStyle w:val="Hyperlink11"/>
            <w:rFonts w:ascii="Times New Roman" w:hAnsi="Times New Roman"/>
            <w:sz w:val="24"/>
            <w:szCs w:val="24"/>
          </w:rPr>
          <w:t>yme disease.</w:t>
        </w:r>
      </w:hyperlink>
      <w:r>
        <w:rPr>
          <w:rStyle w:val="Hyperlink12"/>
          <w:rFonts w:ascii="Times New Roman" w:hAnsi="Times New Roman"/>
          <w:sz w:val="24"/>
          <w:szCs w:val="24"/>
        </w:rPr>
        <w:t xml:space="preserve"> Scand J Immunol. 2009; 69(1):64-9. doi: 10.1111/j.1365-3083.2008.02191.x. </w:t>
      </w:r>
    </w:p>
    <w:p w14:paraId="404AFCCC"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Taylor A, Lee D. </w:t>
      </w:r>
      <w:hyperlink r:id="rId69" w:history="1">
        <w:r>
          <w:rPr>
            <w:rStyle w:val="Hyperlink12"/>
            <w:rFonts w:ascii="Times New Roman" w:hAnsi="Times New Roman"/>
            <w:sz w:val="24"/>
            <w:szCs w:val="24"/>
          </w:rPr>
          <w:t>The alpha-melanocyte stimulating hormone induces conversion of effector T cells into treg cells.</w:t>
        </w:r>
      </w:hyperlink>
      <w:r>
        <w:rPr>
          <w:rStyle w:val="Hyperlink12"/>
          <w:rFonts w:ascii="Times New Roman" w:hAnsi="Times New Roman"/>
          <w:sz w:val="24"/>
          <w:szCs w:val="24"/>
        </w:rPr>
        <w:t xml:space="preserve"> J Transplant. 2011; 2011:246856. doi: 10.1155/2011/246856. </w:t>
      </w:r>
    </w:p>
    <w:p w14:paraId="17D0E1C6" w14:textId="550EB0A3"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Berry Y.</w:t>
      </w:r>
      <w:r>
        <w:rPr>
          <w:rFonts w:ascii="Times New Roman" w:hAnsi="Times New Roman"/>
          <w:sz w:val="24"/>
          <w:szCs w:val="24"/>
        </w:rPr>
        <w:t xml:space="preserve"> </w:t>
      </w:r>
      <w:r>
        <w:rPr>
          <w:rStyle w:val="Hyperlink12"/>
          <w:rFonts w:ascii="Times New Roman" w:hAnsi="Times New Roman"/>
          <w:sz w:val="24"/>
          <w:szCs w:val="24"/>
        </w:rPr>
        <w:t xml:space="preserve">A Physician’s Guide to Understanding &amp; Treating Biotoxin Illness Based on the work of Ritchie Shoemaker, M.D. Reviewed by Ritchie Shoemaker, M.D. </w:t>
      </w:r>
      <w:r w:rsidR="00E556C8">
        <w:rPr>
          <w:rStyle w:val="Hyperlink12"/>
          <w:rFonts w:ascii="Times New Roman" w:hAnsi="Times New Roman"/>
          <w:sz w:val="24"/>
          <w:szCs w:val="24"/>
        </w:rPr>
        <w:t>4/</w:t>
      </w:r>
      <w:r>
        <w:rPr>
          <w:rStyle w:val="Hyperlink12"/>
          <w:rFonts w:ascii="Times New Roman" w:hAnsi="Times New Roman"/>
          <w:sz w:val="24"/>
          <w:szCs w:val="24"/>
        </w:rPr>
        <w:t>2014.</w:t>
      </w:r>
    </w:p>
    <w:p w14:paraId="43721D3B" w14:textId="2F9B31A9"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Bettenworth D, Buyse M, Böhm M, Mennigen R, Czorniak I, Kannengiesser K, Brzoska T, Luger T, Kucharzik T, Domschke W, Maaser C, Lügering A. </w:t>
      </w:r>
      <w:hyperlink r:id="rId70" w:history="1">
        <w:r>
          <w:rPr>
            <w:rStyle w:val="Hyperlink12"/>
            <w:rFonts w:ascii="Times New Roman" w:hAnsi="Times New Roman"/>
            <w:sz w:val="24"/>
            <w:szCs w:val="24"/>
          </w:rPr>
          <w:t>The tripeptide KdPT protects from intestinal inflammation and maintains intestinal barrier function.</w:t>
        </w:r>
      </w:hyperlink>
      <w:r>
        <w:rPr>
          <w:rStyle w:val="Hyperlink12"/>
          <w:rFonts w:ascii="Times New Roman" w:hAnsi="Times New Roman"/>
          <w:sz w:val="24"/>
          <w:szCs w:val="24"/>
        </w:rPr>
        <w:t xml:space="preserve"> Am J Pathol. 2011;   179(3):1230-42. doi: 10.1016/j.ajpath.2011.05.013. </w:t>
      </w:r>
    </w:p>
    <w:p w14:paraId="0BD83209"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Mu Q, Kirby J, Reilly C, Luo X. </w:t>
      </w:r>
      <w:hyperlink r:id="rId71" w:history="1">
        <w:r>
          <w:rPr>
            <w:rStyle w:val="Hyperlink11"/>
            <w:rFonts w:ascii="Times New Roman" w:hAnsi="Times New Roman"/>
            <w:sz w:val="24"/>
            <w:szCs w:val="24"/>
          </w:rPr>
          <w:t>Leaky Gut As a Danger Signal for Autoimmune Diseases.</w:t>
        </w:r>
      </w:hyperlink>
      <w:r>
        <w:rPr>
          <w:rStyle w:val="Hyperlink12"/>
          <w:rFonts w:ascii="Times New Roman" w:hAnsi="Times New Roman"/>
          <w:sz w:val="24"/>
          <w:szCs w:val="24"/>
        </w:rPr>
        <w:t xml:space="preserve"> Front Immunol. 2017; 23(8):598. doi: 10.3389/fimmu.2017.00598. </w:t>
      </w:r>
    </w:p>
    <w:p w14:paraId="00042F55"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John J, Harvin A. </w:t>
      </w:r>
      <w:hyperlink r:id="rId72" w:history="1">
        <w:r>
          <w:rPr>
            <w:rStyle w:val="Hyperlink11"/>
            <w:rFonts w:ascii="Times New Roman" w:hAnsi="Times New Roman"/>
            <w:sz w:val="24"/>
            <w:szCs w:val="24"/>
          </w:rPr>
          <w:t>History and evolution of antibiotic resistance in coagulase-negative staphylococci: Susceptibility profiles of new anti-staphylococcal agents.</w:t>
        </w:r>
      </w:hyperlink>
      <w:r>
        <w:rPr>
          <w:rStyle w:val="Hyperlink12"/>
          <w:rFonts w:ascii="Times New Roman" w:hAnsi="Times New Roman"/>
          <w:sz w:val="24"/>
          <w:szCs w:val="24"/>
        </w:rPr>
        <w:t xml:space="preserve"> Ther Clin Risk Manag. 2007; 3(6):1143-52. </w:t>
      </w:r>
    </w:p>
    <w:p w14:paraId="3B987BDD"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Udo E, Al-Bustan M, Jacob L, Chugh T. </w:t>
      </w:r>
      <w:hyperlink r:id="rId73" w:history="1">
        <w:r>
          <w:rPr>
            <w:rStyle w:val="Hyperlink11"/>
            <w:rFonts w:ascii="Times New Roman" w:hAnsi="Times New Roman"/>
            <w:sz w:val="24"/>
            <w:szCs w:val="24"/>
          </w:rPr>
          <w:t>Enterotoxin production by coagulase-negative staphylococci in restaurant workers from Kuwait City may be a potential cause of food poisoning.</w:t>
        </w:r>
      </w:hyperlink>
      <w:r>
        <w:rPr>
          <w:rStyle w:val="Hyperlink12"/>
          <w:rFonts w:ascii="Times New Roman" w:hAnsi="Times New Roman"/>
          <w:sz w:val="24"/>
          <w:szCs w:val="24"/>
        </w:rPr>
        <w:t> J Med Microbiol. 1999; 48(9):819-23.</w:t>
      </w:r>
    </w:p>
    <w:p w14:paraId="63D498AA"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Moraveji Z, Tabatabaei M, Shirzad Aski H, Khoshbakht R. </w:t>
      </w:r>
      <w:hyperlink r:id="rId74" w:history="1">
        <w:r>
          <w:rPr>
            <w:rStyle w:val="Hyperlink11"/>
            <w:rFonts w:ascii="Times New Roman" w:hAnsi="Times New Roman"/>
            <w:sz w:val="24"/>
            <w:szCs w:val="24"/>
          </w:rPr>
          <w:t>Characterization of hemolysins of Staphylococcus strains isolated from human and bovine, southern Iran.</w:t>
        </w:r>
      </w:hyperlink>
      <w:r>
        <w:rPr>
          <w:rStyle w:val="Hyperlink12"/>
          <w:rFonts w:ascii="Times New Roman" w:hAnsi="Times New Roman"/>
          <w:sz w:val="24"/>
          <w:szCs w:val="24"/>
        </w:rPr>
        <w:t xml:space="preserve"> Iran J Vet Res. 2014; 15(4):326-30. </w:t>
      </w:r>
    </w:p>
    <w:p w14:paraId="6DF18F1E"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Stawski R, Almeida D, Lachman M, Tun P, Rosnick C, Seeman T. </w:t>
      </w:r>
      <w:hyperlink r:id="rId75" w:history="1">
        <w:r>
          <w:rPr>
            <w:rStyle w:val="Hyperlink11"/>
            <w:rFonts w:ascii="Times New Roman" w:hAnsi="Times New Roman"/>
            <w:sz w:val="24"/>
            <w:szCs w:val="24"/>
          </w:rPr>
          <w:t>Associations between cognitive function and naturally occurring daily cortisol during middle adulthood: timing is everything.</w:t>
        </w:r>
      </w:hyperlink>
      <w:r>
        <w:rPr>
          <w:rStyle w:val="Hyperlink12"/>
          <w:rFonts w:ascii="Times New Roman" w:hAnsi="Times New Roman"/>
          <w:sz w:val="24"/>
          <w:szCs w:val="24"/>
        </w:rPr>
        <w:t xml:space="preserve"> J Gerontol B Psychol Sci Soc Sci. 2011; 66 Suppl 1:i71-81. doi: 10.1093/geronb/gbq094. </w:t>
      </w:r>
    </w:p>
    <w:p w14:paraId="670C582C"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Han K, Kim L, Shim I. </w:t>
      </w:r>
      <w:hyperlink r:id="rId76" w:history="1">
        <w:r>
          <w:rPr>
            <w:rStyle w:val="Hyperlink11"/>
            <w:rFonts w:ascii="Times New Roman" w:hAnsi="Times New Roman"/>
            <w:sz w:val="24"/>
            <w:szCs w:val="24"/>
          </w:rPr>
          <w:t>Stress and sleep disorder.</w:t>
        </w:r>
      </w:hyperlink>
      <w:r>
        <w:rPr>
          <w:rStyle w:val="Hyperlink12"/>
          <w:rFonts w:ascii="Times New Roman" w:hAnsi="Times New Roman"/>
          <w:sz w:val="24"/>
          <w:szCs w:val="24"/>
        </w:rPr>
        <w:t xml:space="preserve"> Exp Neurobiol. 2012; 21(4):141-50. doi: 10.5607/en.2012.21.4.141. </w:t>
      </w:r>
    </w:p>
    <w:p w14:paraId="5F9F8DF0"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 xml:space="preserve">Hiltunen M, </w:t>
      </w:r>
      <w:r w:rsidR="00C636CE">
        <w:rPr>
          <w:rStyle w:val="Hyperlink12"/>
          <w:rFonts w:ascii="Times New Roman" w:hAnsi="Times New Roman"/>
          <w:sz w:val="24"/>
          <w:szCs w:val="24"/>
        </w:rPr>
        <w:t>L</w:t>
      </w:r>
      <w:r>
        <w:rPr>
          <w:rStyle w:val="Hyperlink12"/>
          <w:rFonts w:ascii="Times New Roman" w:hAnsi="Times New Roman"/>
          <w:sz w:val="24"/>
          <w:szCs w:val="24"/>
        </w:rPr>
        <w:t>ivonen S, Soininen H. </w:t>
      </w:r>
      <w:hyperlink r:id="rId77" w:history="1">
        <w:r>
          <w:rPr>
            <w:rStyle w:val="Hyperlink12"/>
            <w:rFonts w:ascii="Times New Roman" w:hAnsi="Times New Roman"/>
            <w:sz w:val="24"/>
            <w:szCs w:val="24"/>
          </w:rPr>
          <w:t>Aromatase enzyme and Alzheimer's disease.</w:t>
        </w:r>
      </w:hyperlink>
      <w:r>
        <w:rPr>
          <w:rStyle w:val="Hyperlink12"/>
          <w:rFonts w:ascii="Times New Roman" w:hAnsi="Times New Roman"/>
          <w:sz w:val="24"/>
          <w:szCs w:val="24"/>
        </w:rPr>
        <w:t xml:space="preserve"> Minerva Endocrinol. 2006; 31(1):61-73. </w:t>
      </w:r>
    </w:p>
    <w:p w14:paraId="071516FE"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Pillai B, Unnikrishnan A, Pavithran P. </w:t>
      </w:r>
      <w:hyperlink r:id="rId78" w:history="1">
        <w:r>
          <w:rPr>
            <w:rStyle w:val="Hyperlink11"/>
            <w:rFonts w:ascii="Times New Roman" w:hAnsi="Times New Roman"/>
            <w:sz w:val="24"/>
            <w:szCs w:val="24"/>
          </w:rPr>
          <w:t>Syndrome of inappropriate antidiuretic hormone secretion: Revisiting a classical endocrine disorder.</w:t>
        </w:r>
      </w:hyperlink>
      <w:r>
        <w:rPr>
          <w:rStyle w:val="Hyperlink12"/>
          <w:rFonts w:ascii="Times New Roman" w:hAnsi="Times New Roman"/>
          <w:sz w:val="24"/>
          <w:szCs w:val="24"/>
        </w:rPr>
        <w:t xml:space="preserve"> Indian J Endocrinol Metab. 2011 Sep; 15 Suppl 3:S208-15. doi: 10.4103/2230-8210.84870. </w:t>
      </w:r>
    </w:p>
    <w:p w14:paraId="4F1FC9D7" w14:textId="77777777" w:rsidR="00185232" w:rsidRDefault="006074F5" w:rsidP="00466750">
      <w:pPr>
        <w:pStyle w:val="ListParagraph"/>
        <w:numPr>
          <w:ilvl w:val="0"/>
          <w:numId w:val="28"/>
        </w:numPr>
        <w:spacing w:after="160"/>
        <w:jc w:val="both"/>
        <w:rPr>
          <w:rFonts w:ascii="Times New Roman" w:eastAsia="Times New Roman" w:hAnsi="Times New Roman" w:cs="Times New Roman"/>
          <w:sz w:val="24"/>
          <w:szCs w:val="24"/>
        </w:rPr>
      </w:pPr>
      <w:bookmarkStart w:id="6" w:name="_Hlk507373778"/>
      <w:r>
        <w:rPr>
          <w:rStyle w:val="Hyperlink12"/>
          <w:rFonts w:ascii="Times New Roman" w:hAnsi="Times New Roman"/>
          <w:sz w:val="24"/>
          <w:szCs w:val="24"/>
        </w:rPr>
        <w:t>Petkov</w:t>
      </w:r>
      <w:bookmarkEnd w:id="6"/>
      <w:r>
        <w:rPr>
          <w:rStyle w:val="Hyperlink12"/>
          <w:rFonts w:ascii="Times New Roman" w:hAnsi="Times New Roman"/>
          <w:sz w:val="24"/>
          <w:szCs w:val="24"/>
        </w:rPr>
        <w:t xml:space="preserve"> V, Mosgoeller W, Ziesche R, Raderer M, Stiebellehner L, Vonbank K, Funk G, Hamilton G, Novotny C, Burian B, Block LH. </w:t>
      </w:r>
      <w:hyperlink r:id="rId79" w:history="1">
        <w:r>
          <w:rPr>
            <w:rStyle w:val="Hyperlink11"/>
            <w:rFonts w:ascii="Times New Roman" w:hAnsi="Times New Roman"/>
            <w:sz w:val="24"/>
            <w:szCs w:val="24"/>
          </w:rPr>
          <w:t>Vasoactive intestinal peptide as a new drug for treatment of primary pulmonary hypertension.</w:t>
        </w:r>
      </w:hyperlink>
      <w:r>
        <w:rPr>
          <w:rStyle w:val="Hyperlink12"/>
          <w:rFonts w:ascii="Times New Roman" w:hAnsi="Times New Roman"/>
          <w:sz w:val="24"/>
          <w:szCs w:val="24"/>
        </w:rPr>
        <w:t xml:space="preserve"> J Clin Invest. 2003;111(9):1339-46. </w:t>
      </w:r>
    </w:p>
    <w:p w14:paraId="118F2675" w14:textId="77777777" w:rsidR="00185232" w:rsidRDefault="006074F5" w:rsidP="00466750">
      <w:pPr>
        <w:pStyle w:val="ListParagraph"/>
        <w:numPr>
          <w:ilvl w:val="0"/>
          <w:numId w:val="28"/>
        </w:numPr>
        <w:spacing w:after="160"/>
        <w:jc w:val="both"/>
        <w:rPr>
          <w:rFonts w:ascii="Times New Roman" w:hAnsi="Times New Roman"/>
          <w:sz w:val="24"/>
          <w:szCs w:val="24"/>
        </w:rPr>
      </w:pPr>
      <w:r>
        <w:rPr>
          <w:rStyle w:val="Hyperlink12"/>
          <w:rFonts w:ascii="Times New Roman" w:hAnsi="Times New Roman"/>
          <w:sz w:val="24"/>
          <w:szCs w:val="24"/>
        </w:rPr>
        <w:t>Shoemaker R, Katz D, Ackerley M, Rapaport S, McMahon S, Berndtson, K, Ryan J. Intranasal VIP safely restores volume to multiple grey matter nuclei in patients with CIRS. Int Med Review. 2017:3(4)</w:t>
      </w:r>
    </w:p>
    <w:sectPr w:rsidR="00185232" w:rsidSect="00466750">
      <w:type w:val="continuous"/>
      <w:pgSz w:w="12240" w:h="15840"/>
      <w:pgMar w:top="1440" w:right="1440" w:bottom="1440" w:left="1440" w:header="720" w:footer="576"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7C1F8" w14:textId="77777777" w:rsidR="00B66DDC" w:rsidRDefault="00B66DDC">
      <w:r>
        <w:separator/>
      </w:r>
    </w:p>
  </w:endnote>
  <w:endnote w:type="continuationSeparator" w:id="0">
    <w:p w14:paraId="7E03BCB0" w14:textId="77777777" w:rsidR="00B66DDC" w:rsidRDefault="00B6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Neue">
    <w:altName w:val="Sylfaen"/>
    <w:charset w:val="00"/>
    <w:family w:val="swiss"/>
    <w:pitch w:val="variable"/>
    <w:sig w:usb0="00000003" w:usb1="500079DB" w:usb2="00000010" w:usb3="00000000" w:csb0="00000001" w:csb1="00000000"/>
  </w:font>
  <w:font w:name="Lucida Grande">
    <w:altName w:val="Segoe UI"/>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72290"/>
      <w:docPartObj>
        <w:docPartGallery w:val="Page Numbers (Bottom of Page)"/>
        <w:docPartUnique/>
      </w:docPartObj>
    </w:sdtPr>
    <w:sdtEndPr>
      <w:rPr>
        <w:noProof/>
      </w:rPr>
    </w:sdtEndPr>
    <w:sdtContent>
      <w:p w14:paraId="5D4FDA0E" w14:textId="77777777" w:rsidR="0036523A" w:rsidRDefault="0036523A" w:rsidP="0036523A">
        <w:pPr>
          <w:pStyle w:val="Footer"/>
          <w:jc w:val="center"/>
        </w:pPr>
        <w:r>
          <w:fldChar w:fldCharType="begin"/>
        </w:r>
        <w:r>
          <w:instrText xml:space="preserve"> PAGE   \* MERGEFORMAT </w:instrText>
        </w:r>
        <w:r>
          <w:fldChar w:fldCharType="separate"/>
        </w:r>
        <w:r w:rsidR="00A43A95">
          <w:rPr>
            <w:noProof/>
          </w:rPr>
          <w:t>1</w:t>
        </w:r>
        <w:r>
          <w:rPr>
            <w:noProof/>
          </w:rPr>
          <w:fldChar w:fldCharType="end"/>
        </w:r>
      </w:p>
      <w:p w14:paraId="5B6D235A" w14:textId="77777777" w:rsidR="0036523A" w:rsidRDefault="0036523A" w:rsidP="0036523A">
        <w:pPr>
          <w:pStyle w:val="Footer"/>
          <w:jc w:val="center"/>
        </w:pPr>
        <w:r w:rsidRPr="00DF3DFE">
          <w:t>Copyright 2018 Internal Medicine Review. All Rights Reserved. Volume 4, Issue 5.</w:t>
        </w:r>
      </w:p>
    </w:sdtContent>
  </w:sdt>
  <w:p w14:paraId="467C677F" w14:textId="5D1081C9" w:rsidR="00DF3DFE" w:rsidRPr="0036523A" w:rsidRDefault="00DF3DFE" w:rsidP="00365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522516"/>
      <w:docPartObj>
        <w:docPartGallery w:val="Page Numbers (Bottom of Page)"/>
        <w:docPartUnique/>
      </w:docPartObj>
    </w:sdtPr>
    <w:sdtEndPr>
      <w:rPr>
        <w:noProof/>
      </w:rPr>
    </w:sdtEndPr>
    <w:sdtContent>
      <w:p w14:paraId="4A5CC3D0" w14:textId="77777777" w:rsidR="0036523A" w:rsidRDefault="0036523A" w:rsidP="0036523A">
        <w:pPr>
          <w:pStyle w:val="Footer"/>
          <w:jc w:val="center"/>
        </w:pPr>
        <w:r>
          <w:fldChar w:fldCharType="begin"/>
        </w:r>
        <w:r>
          <w:instrText xml:space="preserve"> PAGE   \* MERGEFORMAT </w:instrText>
        </w:r>
        <w:r>
          <w:fldChar w:fldCharType="separate"/>
        </w:r>
        <w:r w:rsidR="00A43A95">
          <w:rPr>
            <w:noProof/>
          </w:rPr>
          <w:t>3</w:t>
        </w:r>
        <w:r>
          <w:rPr>
            <w:noProof/>
          </w:rPr>
          <w:fldChar w:fldCharType="end"/>
        </w:r>
      </w:p>
      <w:p w14:paraId="63D0E77D" w14:textId="77777777" w:rsidR="0036523A" w:rsidRDefault="0036523A" w:rsidP="0036523A">
        <w:pPr>
          <w:pStyle w:val="Footer"/>
          <w:jc w:val="center"/>
        </w:pPr>
        <w:r w:rsidRPr="00DF3DFE">
          <w:t>Copyright 2018 Internal Medicine Review. All Rights Reserved. Volume 4, Issue 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AADAF" w14:textId="77777777" w:rsidR="00B66DDC" w:rsidRDefault="00B66DDC">
      <w:r>
        <w:separator/>
      </w:r>
    </w:p>
  </w:footnote>
  <w:footnote w:type="continuationSeparator" w:id="0">
    <w:p w14:paraId="558E3518" w14:textId="77777777" w:rsidR="00B66DDC" w:rsidRDefault="00B66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1DD17" w14:textId="77777777" w:rsidR="0036523A" w:rsidRPr="00DF3DFE" w:rsidRDefault="0036523A" w:rsidP="0036523A">
    <w:pPr>
      <w:pStyle w:val="Header"/>
      <w:rPr>
        <w:rFonts w:ascii="Times New Roman" w:hAnsi="Times New Roman" w:cs="Times New Roman"/>
      </w:rPr>
    </w:pPr>
    <w:r w:rsidRPr="00DF3DFE">
      <w:rPr>
        <w:rFonts w:ascii="Times New Roman" w:hAnsi="Times New Roman" w:cs="Times New Roman"/>
      </w:rPr>
      <w:t>Internal Medicine Review</w:t>
    </w:r>
    <w:r>
      <w:rPr>
        <w:rFonts w:ascii="Times New Roman" w:hAnsi="Times New Roman" w:cs="Times New Roman"/>
      </w:rPr>
      <w:tab/>
      <w:t xml:space="preserve">       </w:t>
    </w:r>
    <w:r w:rsidRPr="00DF3DFE">
      <w:rPr>
        <w:rFonts w:ascii="Times New Roman" w:hAnsi="Times New Roman" w:cs="Times New Roman"/>
        <w:b/>
      </w:rPr>
      <w:t>Diagnostic Process for CIRS</w:t>
    </w:r>
    <w:r w:rsidRPr="00DF3DFE">
      <w:rPr>
        <w:rFonts w:ascii="Times New Roman" w:hAnsi="Times New Roman" w:cs="Times New Roman"/>
      </w:rPr>
      <w:t xml:space="preserve"> </w:t>
    </w:r>
    <w:r>
      <w:rPr>
        <w:rFonts w:ascii="Times New Roman" w:hAnsi="Times New Roman" w:cs="Times New Roman"/>
      </w:rPr>
      <w:tab/>
    </w:r>
    <w:r w:rsidRPr="00DF3DFE">
      <w:rPr>
        <w:rFonts w:ascii="Times New Roman" w:hAnsi="Times New Roman" w:cs="Times New Roman"/>
      </w:rPr>
      <w:t>May 2018</w:t>
    </w:r>
  </w:p>
  <w:p w14:paraId="08889F64" w14:textId="25BBD1BC" w:rsidR="00DF3DFE" w:rsidRPr="0036523A" w:rsidRDefault="00DF3DFE" w:rsidP="00365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7AC04" w14:textId="0CE76BD7" w:rsidR="00DF3DFE" w:rsidRPr="00DF3DFE" w:rsidRDefault="00DF3DFE" w:rsidP="00DF3DFE">
    <w:pPr>
      <w:pStyle w:val="Header"/>
      <w:rPr>
        <w:rFonts w:ascii="Times New Roman" w:hAnsi="Times New Roman" w:cs="Times New Roman"/>
      </w:rPr>
    </w:pPr>
    <w:r w:rsidRPr="00DF3DFE">
      <w:rPr>
        <w:rFonts w:ascii="Times New Roman" w:hAnsi="Times New Roman" w:cs="Times New Roman"/>
      </w:rPr>
      <w:t>Internal Medicine Review</w:t>
    </w:r>
    <w:r>
      <w:rPr>
        <w:rFonts w:ascii="Times New Roman" w:hAnsi="Times New Roman" w:cs="Times New Roman"/>
      </w:rPr>
      <w:tab/>
      <w:t xml:space="preserve">       </w:t>
    </w:r>
    <w:r w:rsidRPr="00DF3DFE">
      <w:rPr>
        <w:rFonts w:ascii="Times New Roman" w:hAnsi="Times New Roman" w:cs="Times New Roman"/>
        <w:b/>
      </w:rPr>
      <w:t>Diagnostic Process for CIRS</w:t>
    </w:r>
    <w:r w:rsidRPr="00DF3DFE">
      <w:rPr>
        <w:rFonts w:ascii="Times New Roman" w:hAnsi="Times New Roman" w:cs="Times New Roman"/>
      </w:rPr>
      <w:t xml:space="preserve"> </w:t>
    </w:r>
    <w:r>
      <w:rPr>
        <w:rFonts w:ascii="Times New Roman" w:hAnsi="Times New Roman" w:cs="Times New Roman"/>
      </w:rPr>
      <w:tab/>
    </w:r>
    <w:r w:rsidRPr="00DF3DFE">
      <w:rPr>
        <w:rFonts w:ascii="Times New Roman" w:hAnsi="Times New Roman" w:cs="Times New Roman"/>
      </w:rPr>
      <w:t>May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20B82"/>
    <w:multiLevelType w:val="hybridMultilevel"/>
    <w:tmpl w:val="14B4AADE"/>
    <w:numStyleLink w:val="ImportedStyle9"/>
  </w:abstractNum>
  <w:abstractNum w:abstractNumId="1" w15:restartNumberingAfterBreak="0">
    <w:nsid w:val="05DC6BA8"/>
    <w:multiLevelType w:val="hybridMultilevel"/>
    <w:tmpl w:val="D71E1310"/>
    <w:styleLink w:val="ImportedStyle8"/>
    <w:lvl w:ilvl="0" w:tplc="C876E1B8">
      <w:start w:val="1"/>
      <w:numFmt w:val="decimal"/>
      <w:lvlText w:val="%1."/>
      <w:lvlJc w:val="left"/>
      <w:pPr>
        <w:ind w:left="9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087ADA">
      <w:start w:val="1"/>
      <w:numFmt w:val="lowerLetter"/>
      <w:lvlText w:val="%2."/>
      <w:lvlJc w:val="left"/>
      <w:pPr>
        <w:ind w:left="16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B2B2D6">
      <w:start w:val="1"/>
      <w:numFmt w:val="lowerRoman"/>
      <w:lvlText w:val="%3."/>
      <w:lvlJc w:val="left"/>
      <w:pPr>
        <w:ind w:left="23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C4D4BA">
      <w:start w:val="1"/>
      <w:numFmt w:val="decimal"/>
      <w:lvlText w:val="%4."/>
      <w:lvlJc w:val="left"/>
      <w:pPr>
        <w:ind w:left="30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702BCE">
      <w:start w:val="1"/>
      <w:numFmt w:val="lowerLetter"/>
      <w:lvlText w:val="%5."/>
      <w:lvlJc w:val="left"/>
      <w:pPr>
        <w:ind w:left="37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16C41A">
      <w:start w:val="1"/>
      <w:numFmt w:val="lowerRoman"/>
      <w:lvlText w:val="%6."/>
      <w:lvlJc w:val="left"/>
      <w:pPr>
        <w:ind w:left="45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46A464">
      <w:start w:val="1"/>
      <w:numFmt w:val="decimal"/>
      <w:lvlText w:val="%7."/>
      <w:lvlJc w:val="left"/>
      <w:pPr>
        <w:ind w:left="52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86D262">
      <w:start w:val="1"/>
      <w:numFmt w:val="lowerLetter"/>
      <w:lvlText w:val="%8."/>
      <w:lvlJc w:val="left"/>
      <w:pPr>
        <w:ind w:left="59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DA8EBA">
      <w:start w:val="1"/>
      <w:numFmt w:val="lowerRoman"/>
      <w:lvlText w:val="%9."/>
      <w:lvlJc w:val="left"/>
      <w:pPr>
        <w:ind w:left="66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D907ACA"/>
    <w:multiLevelType w:val="hybridMultilevel"/>
    <w:tmpl w:val="F044FCFC"/>
    <w:styleLink w:val="ImportedStyle7"/>
    <w:lvl w:ilvl="0" w:tplc="15E0BB0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F0C400">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8C3F18">
      <w:start w:val="1"/>
      <w:numFmt w:val="decimal"/>
      <w:lvlText w:val="%3."/>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2E080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38CF2C">
      <w:start w:val="1"/>
      <w:numFmt w:val="decimal"/>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FED804">
      <w:start w:val="1"/>
      <w:numFmt w:val="decimal"/>
      <w:lvlText w:val="%6."/>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D0E96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DE456A">
      <w:start w:val="1"/>
      <w:numFmt w:val="decimal"/>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B48E54">
      <w:start w:val="1"/>
      <w:numFmt w:val="decimal"/>
      <w:lvlText w:val="%9."/>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0A95F1F"/>
    <w:multiLevelType w:val="hybridMultilevel"/>
    <w:tmpl w:val="08DC34B0"/>
    <w:numStyleLink w:val="ImportedStyle4"/>
  </w:abstractNum>
  <w:abstractNum w:abstractNumId="4" w15:restartNumberingAfterBreak="0">
    <w:nsid w:val="16770453"/>
    <w:multiLevelType w:val="hybridMultilevel"/>
    <w:tmpl w:val="20AC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F23F1"/>
    <w:multiLevelType w:val="hybridMultilevel"/>
    <w:tmpl w:val="08DC34B0"/>
    <w:styleLink w:val="ImportedStyle4"/>
    <w:lvl w:ilvl="0" w:tplc="99F2813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3EC3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22CB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04D6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7A75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CB8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026C1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2A68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3E14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3D0193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25457BF2"/>
    <w:multiLevelType w:val="hybridMultilevel"/>
    <w:tmpl w:val="5A2A587A"/>
    <w:numStyleLink w:val="ImportedStyle2"/>
  </w:abstractNum>
  <w:abstractNum w:abstractNumId="8" w15:restartNumberingAfterBreak="0">
    <w:nsid w:val="397E6143"/>
    <w:multiLevelType w:val="hybridMultilevel"/>
    <w:tmpl w:val="272AC26A"/>
    <w:styleLink w:val="ImportedStyle11"/>
    <w:lvl w:ilvl="0" w:tplc="EB6AD7E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6A036">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4C8AD0">
      <w:start w:val="1"/>
      <w:numFmt w:val="lowerRoman"/>
      <w:lvlText w:val="%3."/>
      <w:lvlJc w:val="left"/>
      <w:pPr>
        <w:ind w:left="25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CE0C8C">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069FD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F002A4">
      <w:start w:val="1"/>
      <w:numFmt w:val="lowerRoman"/>
      <w:lvlText w:val="%6."/>
      <w:lvlJc w:val="left"/>
      <w:pPr>
        <w:ind w:left="46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8637F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60B8C6">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CC01DC">
      <w:start w:val="1"/>
      <w:numFmt w:val="lowerRoman"/>
      <w:lvlText w:val="%9."/>
      <w:lvlJc w:val="left"/>
      <w:pPr>
        <w:ind w:left="68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9E553E4"/>
    <w:multiLevelType w:val="hybridMultilevel"/>
    <w:tmpl w:val="491050B0"/>
    <w:numStyleLink w:val="ImportedStyle5"/>
  </w:abstractNum>
  <w:abstractNum w:abstractNumId="10" w15:restartNumberingAfterBreak="0">
    <w:nsid w:val="39F407B4"/>
    <w:multiLevelType w:val="hybridMultilevel"/>
    <w:tmpl w:val="5A2A587A"/>
    <w:styleLink w:val="ImportedStyle2"/>
    <w:lvl w:ilvl="0" w:tplc="D4901E4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609B3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4E6C94">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68EF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C0243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FADC94">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3CCE6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0426C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A2460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10D543E"/>
    <w:multiLevelType w:val="hybridMultilevel"/>
    <w:tmpl w:val="14B4AADE"/>
    <w:styleLink w:val="ImportedStyle9"/>
    <w:lvl w:ilvl="0" w:tplc="82FA1AF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6CA986">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344E98">
      <w:start w:val="1"/>
      <w:numFmt w:val="decimal"/>
      <w:lvlText w:val="%3."/>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C23AE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32C324">
      <w:start w:val="1"/>
      <w:numFmt w:val="decimal"/>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A449AA">
      <w:start w:val="1"/>
      <w:numFmt w:val="decimal"/>
      <w:lvlText w:val="%6."/>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A89EF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AA826C">
      <w:start w:val="1"/>
      <w:numFmt w:val="decimal"/>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F60DE6">
      <w:start w:val="1"/>
      <w:numFmt w:val="decimal"/>
      <w:lvlText w:val="%9."/>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C0F317C"/>
    <w:multiLevelType w:val="hybridMultilevel"/>
    <w:tmpl w:val="196479DA"/>
    <w:styleLink w:val="ImportedStyle1"/>
    <w:lvl w:ilvl="0" w:tplc="02BC4F5E">
      <w:start w:val="1"/>
      <w:numFmt w:val="decimal"/>
      <w:lvlText w:val="%1."/>
      <w:lvlJc w:val="left"/>
      <w:pPr>
        <w:ind w:left="1080" w:hanging="360"/>
      </w:pPr>
      <w:rPr>
        <w:rFonts w:ascii="Times New Roman" w:eastAsia="Arial Unicode MS" w:hAnsi="Times New Roman" w:cs="Times New Roman"/>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2A4CBA">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FAE7FA">
      <w:start w:val="1"/>
      <w:numFmt w:val="lowerRoman"/>
      <w:lvlText w:val="%3."/>
      <w:lvlJc w:val="left"/>
      <w:pPr>
        <w:ind w:left="25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8A097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AE5A9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CAE116">
      <w:start w:val="1"/>
      <w:numFmt w:val="lowerRoman"/>
      <w:lvlText w:val="%6."/>
      <w:lvlJc w:val="left"/>
      <w:pPr>
        <w:ind w:left="46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707D66">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DC3FEE">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96A1E4">
      <w:start w:val="1"/>
      <w:numFmt w:val="lowerRoman"/>
      <w:lvlText w:val="%9."/>
      <w:lvlJc w:val="left"/>
      <w:pPr>
        <w:ind w:left="68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D8C4604"/>
    <w:multiLevelType w:val="hybridMultilevel"/>
    <w:tmpl w:val="B19C6490"/>
    <w:styleLink w:val="ImportedStyle6"/>
    <w:lvl w:ilvl="0" w:tplc="63D2E9F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854F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3EBBB4">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FA43E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44EC4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E861A2">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FC889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FC9C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D0503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4917647"/>
    <w:multiLevelType w:val="hybridMultilevel"/>
    <w:tmpl w:val="2F52E484"/>
    <w:numStyleLink w:val="ImportedStyle10"/>
  </w:abstractNum>
  <w:abstractNum w:abstractNumId="15" w15:restartNumberingAfterBreak="0">
    <w:nsid w:val="564557B3"/>
    <w:multiLevelType w:val="hybridMultilevel"/>
    <w:tmpl w:val="272AC26A"/>
    <w:numStyleLink w:val="ImportedStyle11"/>
  </w:abstractNum>
  <w:abstractNum w:abstractNumId="16" w15:restartNumberingAfterBreak="0">
    <w:nsid w:val="56C05938"/>
    <w:multiLevelType w:val="hybridMultilevel"/>
    <w:tmpl w:val="253A9F68"/>
    <w:styleLink w:val="ImportedStyle3"/>
    <w:lvl w:ilvl="0" w:tplc="D09EF0D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A2AF2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22E83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64314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04654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56096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EEA7C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0EB8C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C42DC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92F306E"/>
    <w:multiLevelType w:val="hybridMultilevel"/>
    <w:tmpl w:val="6FBE6530"/>
    <w:lvl w:ilvl="0" w:tplc="4ADC2D8A">
      <w:start w:val="12"/>
      <w:numFmt w:val="decimal"/>
      <w:lvlText w:val="%1."/>
      <w:lvlJc w:val="left"/>
      <w:pPr>
        <w:ind w:left="1080" w:hanging="360"/>
      </w:pPr>
      <w:rPr>
        <w:rFonts w:cs="Calibri"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555D15"/>
    <w:multiLevelType w:val="hybridMultilevel"/>
    <w:tmpl w:val="D71E1310"/>
    <w:numStyleLink w:val="ImportedStyle8"/>
  </w:abstractNum>
  <w:abstractNum w:abstractNumId="19" w15:restartNumberingAfterBreak="0">
    <w:nsid w:val="64920BCC"/>
    <w:multiLevelType w:val="hybridMultilevel"/>
    <w:tmpl w:val="78861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8B55D7"/>
    <w:multiLevelType w:val="hybridMultilevel"/>
    <w:tmpl w:val="196479DA"/>
    <w:numStyleLink w:val="ImportedStyle1"/>
  </w:abstractNum>
  <w:abstractNum w:abstractNumId="21" w15:restartNumberingAfterBreak="0">
    <w:nsid w:val="6C75051B"/>
    <w:multiLevelType w:val="hybridMultilevel"/>
    <w:tmpl w:val="2F52E484"/>
    <w:styleLink w:val="ImportedStyle10"/>
    <w:lvl w:ilvl="0" w:tplc="41327A94">
      <w:start w:val="1"/>
      <w:numFmt w:val="decimal"/>
      <w:lvlText w:val="%1."/>
      <w:lvlJc w:val="left"/>
      <w:pPr>
        <w:ind w:left="9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246C5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D027C4">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70468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381DD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5686C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AC19C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C6203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764BE2">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EC011E5"/>
    <w:multiLevelType w:val="hybridMultilevel"/>
    <w:tmpl w:val="491050B0"/>
    <w:styleLink w:val="ImportedStyle5"/>
    <w:lvl w:ilvl="0" w:tplc="EBF841D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1E7CE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10D1BC">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465F2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D4A4F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A63436">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F86E9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D8AB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784AC6">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6F03182C"/>
    <w:multiLevelType w:val="multilevel"/>
    <w:tmpl w:val="B19C6490"/>
    <w:numStyleLink w:val="ImportedStyle6"/>
  </w:abstractNum>
  <w:abstractNum w:abstractNumId="24" w15:restartNumberingAfterBreak="0">
    <w:nsid w:val="7D586B0A"/>
    <w:multiLevelType w:val="hybridMultilevel"/>
    <w:tmpl w:val="A24E01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851A55"/>
    <w:multiLevelType w:val="hybridMultilevel"/>
    <w:tmpl w:val="F044FCFC"/>
    <w:numStyleLink w:val="ImportedStyle7"/>
  </w:abstractNum>
  <w:abstractNum w:abstractNumId="26" w15:restartNumberingAfterBreak="0">
    <w:nsid w:val="7F0D672D"/>
    <w:multiLevelType w:val="hybridMultilevel"/>
    <w:tmpl w:val="253A9F68"/>
    <w:numStyleLink w:val="ImportedStyle3"/>
  </w:abstractNum>
  <w:num w:numId="1">
    <w:abstractNumId w:val="12"/>
  </w:num>
  <w:num w:numId="2">
    <w:abstractNumId w:val="20"/>
  </w:num>
  <w:num w:numId="3">
    <w:abstractNumId w:val="10"/>
  </w:num>
  <w:num w:numId="4">
    <w:abstractNumId w:val="7"/>
  </w:num>
  <w:num w:numId="5">
    <w:abstractNumId w:val="16"/>
  </w:num>
  <w:num w:numId="6">
    <w:abstractNumId w:val="26"/>
  </w:num>
  <w:num w:numId="7">
    <w:abstractNumId w:val="5"/>
  </w:num>
  <w:num w:numId="8">
    <w:abstractNumId w:val="3"/>
  </w:num>
  <w:num w:numId="9">
    <w:abstractNumId w:val="22"/>
  </w:num>
  <w:num w:numId="10">
    <w:abstractNumId w:val="9"/>
  </w:num>
  <w:num w:numId="11">
    <w:abstractNumId w:val="13"/>
  </w:num>
  <w:num w:numId="12">
    <w:abstractNumId w:val="23"/>
  </w:num>
  <w:num w:numId="13">
    <w:abstractNumId w:val="23"/>
    <w:lvlOverride w:ilvl="0">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14">
    <w:abstractNumId w:val="2"/>
  </w:num>
  <w:num w:numId="15">
    <w:abstractNumId w:val="25"/>
  </w:num>
  <w:num w:numId="16">
    <w:abstractNumId w:val="1"/>
  </w:num>
  <w:num w:numId="17">
    <w:abstractNumId w:val="18"/>
  </w:num>
  <w:num w:numId="18">
    <w:abstractNumId w:val="18"/>
    <w:lvlOverride w:ilvl="0">
      <w:lvl w:ilvl="0" w:tplc="7DC8DB82">
        <w:start w:val="1"/>
        <w:numFmt w:val="decimal"/>
        <w:lvlText w:val="%1."/>
        <w:lvlJc w:val="left"/>
        <w:pPr>
          <w:ind w:left="870" w:hanging="330"/>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B914D8D6">
        <w:start w:val="1"/>
        <w:numFmt w:val="lowerLetter"/>
        <w:lvlText w:val="%2."/>
        <w:lvlJc w:val="left"/>
        <w:pPr>
          <w:ind w:left="1590" w:hanging="330"/>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3DFECB86">
        <w:start w:val="1"/>
        <w:numFmt w:val="lowerRoman"/>
        <w:lvlText w:val="%3."/>
        <w:lvlJc w:val="left"/>
        <w:pPr>
          <w:ind w:left="2314" w:hanging="283"/>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7E5062C6">
        <w:start w:val="1"/>
        <w:numFmt w:val="decimal"/>
        <w:lvlText w:val="%4."/>
        <w:lvlJc w:val="left"/>
        <w:pPr>
          <w:ind w:left="3030" w:hanging="330"/>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9BF0D3C4">
        <w:start w:val="1"/>
        <w:numFmt w:val="lowerLetter"/>
        <w:lvlText w:val="%5."/>
        <w:lvlJc w:val="left"/>
        <w:pPr>
          <w:ind w:left="3750" w:hanging="330"/>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B39A9AAA">
        <w:start w:val="1"/>
        <w:numFmt w:val="lowerRoman"/>
        <w:lvlText w:val="%6."/>
        <w:lvlJc w:val="left"/>
        <w:pPr>
          <w:ind w:left="4474" w:hanging="283"/>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D270A616">
        <w:start w:val="1"/>
        <w:numFmt w:val="decimal"/>
        <w:lvlText w:val="%7."/>
        <w:lvlJc w:val="left"/>
        <w:pPr>
          <w:ind w:left="5190" w:hanging="330"/>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1FA15C8">
        <w:start w:val="1"/>
        <w:numFmt w:val="lowerLetter"/>
        <w:lvlText w:val="%8."/>
        <w:lvlJc w:val="left"/>
        <w:pPr>
          <w:ind w:left="5910" w:hanging="330"/>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1BC604CC">
        <w:start w:val="1"/>
        <w:numFmt w:val="lowerRoman"/>
        <w:lvlText w:val="%9."/>
        <w:lvlJc w:val="left"/>
        <w:pPr>
          <w:ind w:left="6634" w:hanging="283"/>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num>
  <w:num w:numId="19">
    <w:abstractNumId w:val="11"/>
  </w:num>
  <w:num w:numId="20">
    <w:abstractNumId w:val="0"/>
  </w:num>
  <w:num w:numId="21">
    <w:abstractNumId w:val="21"/>
  </w:num>
  <w:num w:numId="22">
    <w:abstractNumId w:val="14"/>
  </w:num>
  <w:num w:numId="23">
    <w:abstractNumId w:val="14"/>
    <w:lvlOverride w:ilvl="0">
      <w:lvl w:ilvl="0" w:tplc="8DDCBD28">
        <w:start w:val="1"/>
        <w:numFmt w:val="decimal"/>
        <w:lvlText w:val="%1."/>
        <w:lvlJc w:val="left"/>
        <w:pPr>
          <w:ind w:left="8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4E0A6A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9E9434A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DD48B1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209C84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CAB40F9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432A0F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B2B456D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4990ACB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24">
    <w:abstractNumId w:val="8"/>
  </w:num>
  <w:num w:numId="25">
    <w:abstractNumId w:val="15"/>
  </w:num>
  <w:num w:numId="26">
    <w:abstractNumId w:val="15"/>
    <w:lvlOverride w:ilvl="0">
      <w:lvl w:ilvl="0" w:tplc="69B85952">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F33ABC26">
        <w:start w:val="1"/>
        <w:numFmt w:val="lowerLetter"/>
        <w:lvlText w:val="%2."/>
        <w:lvlJc w:val="left"/>
        <w:pPr>
          <w:ind w:left="17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80F00302">
        <w:start w:val="1"/>
        <w:numFmt w:val="lowerRoman"/>
        <w:lvlText w:val="%3."/>
        <w:lvlJc w:val="left"/>
        <w:pPr>
          <w:ind w:left="2495" w:hanging="27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C9728D94">
        <w:start w:val="1"/>
        <w:numFmt w:val="decimal"/>
        <w:lvlText w:val="%4."/>
        <w:lvlJc w:val="left"/>
        <w:pPr>
          <w:ind w:left="32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006C9840">
        <w:start w:val="1"/>
        <w:numFmt w:val="lowerLetter"/>
        <w:lvlText w:val="%5."/>
        <w:lvlJc w:val="left"/>
        <w:pPr>
          <w:ind w:left="39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3DAC61C2">
        <w:start w:val="1"/>
        <w:numFmt w:val="lowerRoman"/>
        <w:lvlText w:val="%6."/>
        <w:lvlJc w:val="left"/>
        <w:pPr>
          <w:ind w:left="4655" w:hanging="27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D1880DB2">
        <w:start w:val="1"/>
        <w:numFmt w:val="decimal"/>
        <w:lvlText w:val="%7."/>
        <w:lvlJc w:val="left"/>
        <w:pPr>
          <w:ind w:left="53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C40EF4A0">
        <w:start w:val="1"/>
        <w:numFmt w:val="lowerLetter"/>
        <w:lvlText w:val="%8."/>
        <w:lvlJc w:val="left"/>
        <w:pPr>
          <w:ind w:left="60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1F44CE12">
        <w:start w:val="1"/>
        <w:numFmt w:val="lowerRoman"/>
        <w:lvlText w:val="%9."/>
        <w:lvlJc w:val="left"/>
        <w:pPr>
          <w:ind w:left="6815" w:hanging="27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27">
    <w:abstractNumId w:val="15"/>
    <w:lvlOverride w:ilvl="0">
      <w:lvl w:ilvl="0" w:tplc="69B859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33ABC26">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0F00302">
        <w:start w:val="1"/>
        <w:numFmt w:val="lowerRoman"/>
        <w:lvlText w:val="%3."/>
        <w:lvlJc w:val="left"/>
        <w:pPr>
          <w:ind w:left="25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9728D9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06C984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DAC61C2">
        <w:start w:val="1"/>
        <w:numFmt w:val="lowerRoman"/>
        <w:lvlText w:val="%6."/>
        <w:lvlJc w:val="left"/>
        <w:pPr>
          <w:ind w:left="46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1880DB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40EF4A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F44CE12">
        <w:start w:val="1"/>
        <w:numFmt w:val="lowerRoman"/>
        <w:lvlText w:val="%9."/>
        <w:lvlJc w:val="left"/>
        <w:pPr>
          <w:ind w:left="684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4"/>
  </w:num>
  <w:num w:numId="29">
    <w:abstractNumId w:val="17"/>
  </w:num>
  <w:num w:numId="30">
    <w:abstractNumId w:val="24"/>
  </w:num>
  <w:num w:numId="31">
    <w:abstractNumId w:val="19"/>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ctiveWritingStyle w:appName="MSWord" w:lang="en-AU" w:vendorID="64" w:dllVersion="0" w:nlCheck="1" w:checkStyle="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32"/>
    <w:rsid w:val="0001712F"/>
    <w:rsid w:val="0002014E"/>
    <w:rsid w:val="000254EC"/>
    <w:rsid w:val="00030ABD"/>
    <w:rsid w:val="00037AB7"/>
    <w:rsid w:val="00061FF5"/>
    <w:rsid w:val="00075C97"/>
    <w:rsid w:val="000958C0"/>
    <w:rsid w:val="000B7580"/>
    <w:rsid w:val="000D10C4"/>
    <w:rsid w:val="000D3425"/>
    <w:rsid w:val="000F0112"/>
    <w:rsid w:val="001159E0"/>
    <w:rsid w:val="00147C94"/>
    <w:rsid w:val="00151B34"/>
    <w:rsid w:val="00176673"/>
    <w:rsid w:val="00185232"/>
    <w:rsid w:val="00185E21"/>
    <w:rsid w:val="001A562C"/>
    <w:rsid w:val="001A6018"/>
    <w:rsid w:val="001B3330"/>
    <w:rsid w:val="001E508E"/>
    <w:rsid w:val="001F7E7B"/>
    <w:rsid w:val="0020348E"/>
    <w:rsid w:val="00232C57"/>
    <w:rsid w:val="00235DBA"/>
    <w:rsid w:val="00245B39"/>
    <w:rsid w:val="00247CE5"/>
    <w:rsid w:val="0026287C"/>
    <w:rsid w:val="00280D44"/>
    <w:rsid w:val="002C487C"/>
    <w:rsid w:val="002C5960"/>
    <w:rsid w:val="002D226E"/>
    <w:rsid w:val="002D3A6E"/>
    <w:rsid w:val="002F2654"/>
    <w:rsid w:val="002F33CB"/>
    <w:rsid w:val="002F4948"/>
    <w:rsid w:val="00315713"/>
    <w:rsid w:val="003205D4"/>
    <w:rsid w:val="00354867"/>
    <w:rsid w:val="0036523A"/>
    <w:rsid w:val="003753CB"/>
    <w:rsid w:val="003B0644"/>
    <w:rsid w:val="003B0CD6"/>
    <w:rsid w:val="003C0EA2"/>
    <w:rsid w:val="003F019A"/>
    <w:rsid w:val="003F1031"/>
    <w:rsid w:val="004164AC"/>
    <w:rsid w:val="00423C4B"/>
    <w:rsid w:val="00425652"/>
    <w:rsid w:val="004276BB"/>
    <w:rsid w:val="0044416B"/>
    <w:rsid w:val="0046662F"/>
    <w:rsid w:val="00466750"/>
    <w:rsid w:val="004717E3"/>
    <w:rsid w:val="00472386"/>
    <w:rsid w:val="0048618B"/>
    <w:rsid w:val="004A1348"/>
    <w:rsid w:val="004B31C3"/>
    <w:rsid w:val="004B782C"/>
    <w:rsid w:val="004C2036"/>
    <w:rsid w:val="004D6912"/>
    <w:rsid w:val="004E0233"/>
    <w:rsid w:val="004F1224"/>
    <w:rsid w:val="004F7191"/>
    <w:rsid w:val="00520407"/>
    <w:rsid w:val="00520AAA"/>
    <w:rsid w:val="00535F32"/>
    <w:rsid w:val="00550E8A"/>
    <w:rsid w:val="00562A5C"/>
    <w:rsid w:val="00567FC5"/>
    <w:rsid w:val="005724D0"/>
    <w:rsid w:val="00580AEB"/>
    <w:rsid w:val="00584307"/>
    <w:rsid w:val="0058667B"/>
    <w:rsid w:val="00586CD0"/>
    <w:rsid w:val="005A1012"/>
    <w:rsid w:val="005A4F83"/>
    <w:rsid w:val="005B0CF3"/>
    <w:rsid w:val="005C0465"/>
    <w:rsid w:val="005D599B"/>
    <w:rsid w:val="005E0D0B"/>
    <w:rsid w:val="006074F5"/>
    <w:rsid w:val="00625BCD"/>
    <w:rsid w:val="00644D4D"/>
    <w:rsid w:val="00651CC0"/>
    <w:rsid w:val="00660148"/>
    <w:rsid w:val="00680D06"/>
    <w:rsid w:val="00684D56"/>
    <w:rsid w:val="00685186"/>
    <w:rsid w:val="006B4CF5"/>
    <w:rsid w:val="006B4EC2"/>
    <w:rsid w:val="006C1FF4"/>
    <w:rsid w:val="006C7574"/>
    <w:rsid w:val="006D74F4"/>
    <w:rsid w:val="006E487F"/>
    <w:rsid w:val="006F2CED"/>
    <w:rsid w:val="006F44EF"/>
    <w:rsid w:val="0070041D"/>
    <w:rsid w:val="00707AF0"/>
    <w:rsid w:val="00712C8B"/>
    <w:rsid w:val="007229F3"/>
    <w:rsid w:val="00731979"/>
    <w:rsid w:val="00752705"/>
    <w:rsid w:val="00756590"/>
    <w:rsid w:val="007672C8"/>
    <w:rsid w:val="00772FB9"/>
    <w:rsid w:val="00781DDF"/>
    <w:rsid w:val="007A4FCE"/>
    <w:rsid w:val="007C17F9"/>
    <w:rsid w:val="007C6FC0"/>
    <w:rsid w:val="007D5B42"/>
    <w:rsid w:val="007E4F43"/>
    <w:rsid w:val="007F1C85"/>
    <w:rsid w:val="0080354E"/>
    <w:rsid w:val="008050E9"/>
    <w:rsid w:val="00812AB6"/>
    <w:rsid w:val="0081436A"/>
    <w:rsid w:val="00850457"/>
    <w:rsid w:val="00860BEF"/>
    <w:rsid w:val="00877612"/>
    <w:rsid w:val="00884052"/>
    <w:rsid w:val="008A2D54"/>
    <w:rsid w:val="008C751D"/>
    <w:rsid w:val="008D1454"/>
    <w:rsid w:val="008F0AB4"/>
    <w:rsid w:val="008F352C"/>
    <w:rsid w:val="00914146"/>
    <w:rsid w:val="009323EB"/>
    <w:rsid w:val="0094261D"/>
    <w:rsid w:val="00943C37"/>
    <w:rsid w:val="00951E89"/>
    <w:rsid w:val="00957ABB"/>
    <w:rsid w:val="00960124"/>
    <w:rsid w:val="00962F0F"/>
    <w:rsid w:val="00964355"/>
    <w:rsid w:val="009751B6"/>
    <w:rsid w:val="009845D7"/>
    <w:rsid w:val="00996D42"/>
    <w:rsid w:val="009A3579"/>
    <w:rsid w:val="009A57DA"/>
    <w:rsid w:val="009C6109"/>
    <w:rsid w:val="009F4EC2"/>
    <w:rsid w:val="00A27B20"/>
    <w:rsid w:val="00A27EA8"/>
    <w:rsid w:val="00A31ACE"/>
    <w:rsid w:val="00A40795"/>
    <w:rsid w:val="00A41EE7"/>
    <w:rsid w:val="00A43A95"/>
    <w:rsid w:val="00A55592"/>
    <w:rsid w:val="00A61B40"/>
    <w:rsid w:val="00A8504E"/>
    <w:rsid w:val="00A921D4"/>
    <w:rsid w:val="00AD5B79"/>
    <w:rsid w:val="00AE3991"/>
    <w:rsid w:val="00AF2134"/>
    <w:rsid w:val="00AF3FFB"/>
    <w:rsid w:val="00AF4E45"/>
    <w:rsid w:val="00B16DED"/>
    <w:rsid w:val="00B223F1"/>
    <w:rsid w:val="00B3518F"/>
    <w:rsid w:val="00B415F4"/>
    <w:rsid w:val="00B50C74"/>
    <w:rsid w:val="00B63947"/>
    <w:rsid w:val="00B66DDC"/>
    <w:rsid w:val="00BA289D"/>
    <w:rsid w:val="00BB6FDE"/>
    <w:rsid w:val="00BC5CD7"/>
    <w:rsid w:val="00BD6E70"/>
    <w:rsid w:val="00C073C2"/>
    <w:rsid w:val="00C0768D"/>
    <w:rsid w:val="00C1110F"/>
    <w:rsid w:val="00C41812"/>
    <w:rsid w:val="00C46619"/>
    <w:rsid w:val="00C53F02"/>
    <w:rsid w:val="00C62ED5"/>
    <w:rsid w:val="00C636CE"/>
    <w:rsid w:val="00C76DC0"/>
    <w:rsid w:val="00CC69F2"/>
    <w:rsid w:val="00CD0AF8"/>
    <w:rsid w:val="00D253BF"/>
    <w:rsid w:val="00D274AD"/>
    <w:rsid w:val="00D27577"/>
    <w:rsid w:val="00D361AF"/>
    <w:rsid w:val="00D553AE"/>
    <w:rsid w:val="00D90E29"/>
    <w:rsid w:val="00D95CE2"/>
    <w:rsid w:val="00DA5D11"/>
    <w:rsid w:val="00DB2D09"/>
    <w:rsid w:val="00DB3889"/>
    <w:rsid w:val="00DB6617"/>
    <w:rsid w:val="00DD0897"/>
    <w:rsid w:val="00DD0898"/>
    <w:rsid w:val="00DD5819"/>
    <w:rsid w:val="00DF2663"/>
    <w:rsid w:val="00DF3DFE"/>
    <w:rsid w:val="00DF480B"/>
    <w:rsid w:val="00E03810"/>
    <w:rsid w:val="00E308D3"/>
    <w:rsid w:val="00E45FFD"/>
    <w:rsid w:val="00E556C8"/>
    <w:rsid w:val="00E560C4"/>
    <w:rsid w:val="00E60A05"/>
    <w:rsid w:val="00E83645"/>
    <w:rsid w:val="00E9085E"/>
    <w:rsid w:val="00EA13A0"/>
    <w:rsid w:val="00EC5D61"/>
    <w:rsid w:val="00ED0133"/>
    <w:rsid w:val="00ED6125"/>
    <w:rsid w:val="00EE0B11"/>
    <w:rsid w:val="00EE5246"/>
    <w:rsid w:val="00F01F65"/>
    <w:rsid w:val="00F05347"/>
    <w:rsid w:val="00F05AE8"/>
    <w:rsid w:val="00F16E72"/>
    <w:rsid w:val="00F31230"/>
    <w:rsid w:val="00F33BA3"/>
    <w:rsid w:val="00F40118"/>
    <w:rsid w:val="00F40F91"/>
    <w:rsid w:val="00F6565A"/>
    <w:rsid w:val="00F707A1"/>
    <w:rsid w:val="00F77602"/>
    <w:rsid w:val="00F87773"/>
    <w:rsid w:val="00F95FE6"/>
    <w:rsid w:val="00FA128B"/>
    <w:rsid w:val="00FA4498"/>
    <w:rsid w:val="00FC0210"/>
    <w:rsid w:val="00FD6BBF"/>
    <w:rsid w:val="00FE3C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B9ECD17"/>
  <w15:docId w15:val="{8CD576CB-DDD2-432E-B508-3E6F57167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paragraph" w:styleId="Heading1">
    <w:name w:val="heading 1"/>
    <w:basedOn w:val="Normal"/>
    <w:link w:val="Heading1Char"/>
    <w:uiPriority w:val="9"/>
    <w:qFormat/>
    <w:rsid w:val="006F2C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pPr>
      <w:spacing w:after="80"/>
    </w:pPr>
    <w:rPr>
      <w:rFonts w:ascii="Calibri" w:eastAsia="Calibri" w:hAnsi="Calibri" w:cs="Calibri"/>
      <w:color w:val="000000"/>
      <w:sz w:val="22"/>
      <w:szCs w:val="22"/>
      <w:u w:color="000000"/>
    </w:rPr>
  </w:style>
  <w:style w:type="paragraph" w:styleId="ListParagraph">
    <w:name w:val="List Paragraph"/>
    <w:uiPriority w:val="34"/>
    <w:qFormat/>
    <w:pPr>
      <w:spacing w:after="80"/>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563C1"/>
      <w:sz w:val="24"/>
      <w:szCs w:val="24"/>
      <w:u w:val="single" w:color="0563C1"/>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customStyle="1" w:styleId="Default">
    <w:name w:val="Default"/>
    <w:rPr>
      <w:rFonts w:ascii="Helvetica Neue" w:hAnsi="Helvetica Neue" w:cs="Arial Unicode MS"/>
      <w:color w:val="000000"/>
      <w:sz w:val="22"/>
      <w:szCs w:val="22"/>
      <w:u w:color="000000"/>
    </w:rPr>
  </w:style>
  <w:style w:type="numbering" w:customStyle="1" w:styleId="ImportedStyle5">
    <w:name w:val="Imported Style 5"/>
    <w:pPr>
      <w:numPr>
        <w:numId w:val="9"/>
      </w:numPr>
    </w:pPr>
  </w:style>
  <w:style w:type="character" w:customStyle="1" w:styleId="Hyperlink1">
    <w:name w:val="Hyperlink.1"/>
    <w:basedOn w:val="None"/>
    <w:rPr>
      <w:color w:val="0563C1"/>
      <w:u w:val="single" w:color="0563C1"/>
    </w:rPr>
  </w:style>
  <w:style w:type="character" w:customStyle="1" w:styleId="Hyperlink2">
    <w:name w:val="Hyperlink.2"/>
    <w:basedOn w:val="None"/>
    <w:rPr>
      <w:rFonts w:ascii="Times New Roman" w:eastAsia="Times New Roman" w:hAnsi="Times New Roman" w:cs="Times New Roman"/>
      <w:color w:val="0563C1"/>
      <w:sz w:val="24"/>
      <w:szCs w:val="24"/>
      <w:u w:val="none" w:color="0563C1"/>
      <w:lang w:val="en-US"/>
    </w:rPr>
  </w:style>
  <w:style w:type="character" w:customStyle="1" w:styleId="Hyperlink3">
    <w:name w:val="Hyperlink.3"/>
    <w:basedOn w:val="None"/>
    <w:rPr>
      <w:rFonts w:ascii="Times New Roman" w:eastAsia="Times New Roman" w:hAnsi="Times New Roman" w:cs="Times New Roman"/>
      <w:color w:val="0563C1"/>
      <w:sz w:val="24"/>
      <w:szCs w:val="24"/>
      <w:u w:val="none" w:color="0563C1"/>
      <w:shd w:val="clear" w:color="auto" w:fill="FFFFFF"/>
    </w:rPr>
  </w:style>
  <w:style w:type="numbering" w:customStyle="1" w:styleId="ImportedStyle6">
    <w:name w:val="Imported Style 6"/>
    <w:pPr>
      <w:numPr>
        <w:numId w:val="11"/>
      </w:numPr>
    </w:pPr>
  </w:style>
  <w:style w:type="character" w:customStyle="1" w:styleId="Hyperlink4">
    <w:name w:val="Hyperlink.4"/>
    <w:basedOn w:val="None"/>
    <w:rPr>
      <w:lang w:val="en-US"/>
    </w:rPr>
  </w:style>
  <w:style w:type="character" w:customStyle="1" w:styleId="Hyperlink5">
    <w:name w:val="Hyperlink.5"/>
    <w:basedOn w:val="None"/>
    <w:rPr>
      <w:lang w:val="de-DE"/>
    </w:rPr>
  </w:style>
  <w:style w:type="character" w:customStyle="1" w:styleId="Hyperlink6">
    <w:name w:val="Hyperlink.6"/>
    <w:basedOn w:val="None"/>
    <w:rPr>
      <w:lang w:val="nl-NL"/>
    </w:rPr>
  </w:style>
  <w:style w:type="paragraph" w:styleId="NormalWeb">
    <w:name w:val="Normal (Web)"/>
    <w:pPr>
      <w:spacing w:before="100" w:after="100"/>
    </w:pPr>
    <w:rPr>
      <w:rFonts w:cs="Arial Unicode MS"/>
      <w:color w:val="000000"/>
      <w:sz w:val="24"/>
      <w:szCs w:val="24"/>
      <w:u w:color="000000"/>
    </w:rPr>
  </w:style>
  <w:style w:type="numbering" w:customStyle="1" w:styleId="ImportedStyle7">
    <w:name w:val="Imported Style 7"/>
    <w:pPr>
      <w:numPr>
        <w:numId w:val="14"/>
      </w:numPr>
    </w:pPr>
  </w:style>
  <w:style w:type="character" w:customStyle="1" w:styleId="Hyperlink7">
    <w:name w:val="Hyperlink.7"/>
    <w:basedOn w:val="None"/>
    <w:rPr>
      <w:color w:val="1155CC"/>
      <w:u w:val="single" w:color="1155CC"/>
    </w:rPr>
  </w:style>
  <w:style w:type="numbering" w:customStyle="1" w:styleId="ImportedStyle8">
    <w:name w:val="Imported Style 8"/>
    <w:pPr>
      <w:numPr>
        <w:numId w:val="16"/>
      </w:numPr>
    </w:pPr>
  </w:style>
  <w:style w:type="numbering" w:customStyle="1" w:styleId="ImportedStyle9">
    <w:name w:val="Imported Style 9"/>
    <w:pPr>
      <w:numPr>
        <w:numId w:val="19"/>
      </w:numPr>
    </w:pPr>
  </w:style>
  <w:style w:type="paragraph" w:customStyle="1" w:styleId="Footnote">
    <w:name w:val="Footnote"/>
    <w:rPr>
      <w:rFonts w:cs="Arial Unicode MS"/>
      <w:color w:val="000000"/>
      <w:sz w:val="24"/>
      <w:szCs w:val="24"/>
      <w:u w:color="000000"/>
    </w:rPr>
  </w:style>
  <w:style w:type="numbering" w:customStyle="1" w:styleId="ImportedStyle10">
    <w:name w:val="Imported Style 10"/>
    <w:pPr>
      <w:numPr>
        <w:numId w:val="21"/>
      </w:numPr>
    </w:pPr>
  </w:style>
  <w:style w:type="character" w:customStyle="1" w:styleId="Hyperlink8">
    <w:name w:val="Hyperlink.8"/>
    <w:basedOn w:val="None"/>
    <w:rPr>
      <w:u w:val="single"/>
      <w:lang w:val="en-US"/>
    </w:rPr>
  </w:style>
  <w:style w:type="numbering" w:customStyle="1" w:styleId="ImportedStyle11">
    <w:name w:val="Imported Style 11"/>
    <w:pPr>
      <w:numPr>
        <w:numId w:val="24"/>
      </w:numPr>
    </w:pPr>
  </w:style>
  <w:style w:type="character" w:customStyle="1" w:styleId="Hyperlink9">
    <w:name w:val="Hyperlink.9"/>
    <w:basedOn w:val="None"/>
    <w:rPr>
      <w:color w:val="000000"/>
      <w:u w:val="none" w:color="000000"/>
    </w:rPr>
  </w:style>
  <w:style w:type="character" w:customStyle="1" w:styleId="Hyperlink10">
    <w:name w:val="Hyperlink.10"/>
    <w:basedOn w:val="None"/>
    <w:rPr>
      <w:rFonts w:ascii="Times New Roman" w:eastAsia="Times New Roman" w:hAnsi="Times New Roman" w:cs="Times New Roman"/>
      <w:color w:val="000000"/>
      <w:u w:val="none" w:color="000000"/>
      <w:shd w:val="clear" w:color="auto" w:fill="FFFFFF"/>
    </w:rPr>
  </w:style>
  <w:style w:type="character" w:customStyle="1" w:styleId="Hyperlink11">
    <w:name w:val="Hyperlink.11"/>
    <w:basedOn w:val="None"/>
    <w:rPr>
      <w:color w:val="000000"/>
      <w:u w:val="none" w:color="000000"/>
      <w:shd w:val="clear" w:color="auto" w:fill="FFFFFF"/>
    </w:rPr>
  </w:style>
  <w:style w:type="character" w:customStyle="1" w:styleId="Hyperlink12">
    <w:name w:val="Hyperlink.12"/>
    <w:basedOn w:val="None"/>
    <w:rPr>
      <w:shd w:val="clear" w:color="auto" w:fill="FFFFFF"/>
    </w:rPr>
  </w:style>
  <w:style w:type="paragraph" w:styleId="Footer">
    <w:name w:val="footer"/>
    <w:basedOn w:val="Normal"/>
    <w:link w:val="FooterChar"/>
    <w:uiPriority w:val="99"/>
    <w:unhideWhenUsed/>
    <w:rsid w:val="004F7191"/>
    <w:pPr>
      <w:tabs>
        <w:tab w:val="center" w:pos="4680"/>
        <w:tab w:val="right" w:pos="9360"/>
      </w:tabs>
    </w:pPr>
  </w:style>
  <w:style w:type="character" w:customStyle="1" w:styleId="FooterChar">
    <w:name w:val="Footer Char"/>
    <w:basedOn w:val="DefaultParagraphFont"/>
    <w:link w:val="Footer"/>
    <w:uiPriority w:val="99"/>
    <w:rsid w:val="004F7191"/>
    <w:rPr>
      <w:sz w:val="24"/>
      <w:szCs w:val="24"/>
    </w:rPr>
  </w:style>
  <w:style w:type="paragraph" w:styleId="BalloonText">
    <w:name w:val="Balloon Text"/>
    <w:basedOn w:val="Normal"/>
    <w:link w:val="BalloonTextChar"/>
    <w:uiPriority w:val="99"/>
    <w:semiHidden/>
    <w:unhideWhenUsed/>
    <w:rsid w:val="00423C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C4B"/>
    <w:rPr>
      <w:rFonts w:ascii="Lucida Grande" w:hAnsi="Lucida Grande" w:cs="Lucida Grande"/>
      <w:sz w:val="18"/>
      <w:szCs w:val="18"/>
    </w:rPr>
  </w:style>
  <w:style w:type="numbering" w:customStyle="1" w:styleId="ImportedStyle111">
    <w:name w:val="Imported Style 111"/>
    <w:rsid w:val="007F1C85"/>
  </w:style>
  <w:style w:type="numbering" w:customStyle="1" w:styleId="ImportedStyle112">
    <w:name w:val="Imported Style 112"/>
    <w:rsid w:val="007F1C85"/>
  </w:style>
  <w:style w:type="numbering" w:customStyle="1" w:styleId="ImportedStyle113">
    <w:name w:val="Imported Style 113"/>
    <w:rsid w:val="007F1C85"/>
  </w:style>
  <w:style w:type="numbering" w:customStyle="1" w:styleId="ImportedStyle31">
    <w:name w:val="Imported Style 31"/>
    <w:rsid w:val="007F1C85"/>
  </w:style>
  <w:style w:type="numbering" w:customStyle="1" w:styleId="ImportedStyle41">
    <w:name w:val="Imported Style 41"/>
    <w:rsid w:val="007F1C85"/>
  </w:style>
  <w:style w:type="character" w:styleId="CommentReference">
    <w:name w:val="annotation reference"/>
    <w:basedOn w:val="DefaultParagraphFont"/>
    <w:uiPriority w:val="99"/>
    <w:semiHidden/>
    <w:unhideWhenUsed/>
    <w:rsid w:val="007F1C85"/>
    <w:rPr>
      <w:sz w:val="16"/>
      <w:szCs w:val="16"/>
    </w:rPr>
  </w:style>
  <w:style w:type="paragraph" w:styleId="CommentText">
    <w:name w:val="annotation text"/>
    <w:basedOn w:val="Normal"/>
    <w:link w:val="CommentTextChar"/>
    <w:uiPriority w:val="99"/>
    <w:semiHidden/>
    <w:unhideWhenUsed/>
    <w:rsid w:val="007F1C85"/>
    <w:rPr>
      <w:sz w:val="20"/>
      <w:szCs w:val="20"/>
    </w:rPr>
  </w:style>
  <w:style w:type="character" w:customStyle="1" w:styleId="CommentTextChar">
    <w:name w:val="Comment Text Char"/>
    <w:basedOn w:val="DefaultParagraphFont"/>
    <w:link w:val="CommentText"/>
    <w:uiPriority w:val="99"/>
    <w:semiHidden/>
    <w:rsid w:val="007F1C85"/>
  </w:style>
  <w:style w:type="character" w:customStyle="1" w:styleId="UnresolvedMention1">
    <w:name w:val="Unresolved Mention1"/>
    <w:basedOn w:val="DefaultParagraphFont"/>
    <w:uiPriority w:val="99"/>
    <w:semiHidden/>
    <w:unhideWhenUsed/>
    <w:rsid w:val="005E0D0B"/>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943C37"/>
    <w:rPr>
      <w:b/>
      <w:bCs/>
    </w:rPr>
  </w:style>
  <w:style w:type="character" w:customStyle="1" w:styleId="CommentSubjectChar">
    <w:name w:val="Comment Subject Char"/>
    <w:basedOn w:val="CommentTextChar"/>
    <w:link w:val="CommentSubject"/>
    <w:uiPriority w:val="99"/>
    <w:semiHidden/>
    <w:rsid w:val="00943C37"/>
    <w:rPr>
      <w:b/>
      <w:bCs/>
    </w:rPr>
  </w:style>
  <w:style w:type="character" w:customStyle="1" w:styleId="HeaderChar">
    <w:name w:val="Header Char"/>
    <w:basedOn w:val="DefaultParagraphFont"/>
    <w:link w:val="Header"/>
    <w:uiPriority w:val="99"/>
    <w:rsid w:val="000F0112"/>
    <w:rPr>
      <w:rFonts w:ascii="Calibri" w:eastAsia="Calibri" w:hAnsi="Calibri" w:cs="Calibri"/>
      <w:color w:val="000000"/>
      <w:sz w:val="22"/>
      <w:szCs w:val="22"/>
      <w:u w:color="000000"/>
    </w:rPr>
  </w:style>
  <w:style w:type="paragraph" w:styleId="Revision">
    <w:name w:val="Revision"/>
    <w:hidden/>
    <w:uiPriority w:val="99"/>
    <w:semiHidden/>
    <w:rsid w:val="00550E8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Heading1Char">
    <w:name w:val="Heading 1 Char"/>
    <w:basedOn w:val="DefaultParagraphFont"/>
    <w:link w:val="Heading1"/>
    <w:uiPriority w:val="9"/>
    <w:rsid w:val="006F2CED"/>
    <w:rPr>
      <w:rFonts w:eastAsia="Times New Roman"/>
      <w:b/>
      <w:bCs/>
      <w:kern w:val="36"/>
      <w:sz w:val="48"/>
      <w:szCs w:val="48"/>
      <w:bdr w:val="none" w:sz="0" w:space="0" w:color="auto"/>
    </w:rPr>
  </w:style>
  <w:style w:type="character" w:customStyle="1" w:styleId="UnresolvedMention2">
    <w:name w:val="Unresolved Mention2"/>
    <w:basedOn w:val="DefaultParagraphFont"/>
    <w:uiPriority w:val="99"/>
    <w:rsid w:val="00AF4E4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417420">
      <w:bodyDiv w:val="1"/>
      <w:marLeft w:val="0"/>
      <w:marRight w:val="0"/>
      <w:marTop w:val="0"/>
      <w:marBottom w:val="0"/>
      <w:divBdr>
        <w:top w:val="none" w:sz="0" w:space="0" w:color="auto"/>
        <w:left w:val="none" w:sz="0" w:space="0" w:color="auto"/>
        <w:bottom w:val="none" w:sz="0" w:space="0" w:color="auto"/>
        <w:right w:val="none" w:sz="0" w:space="0" w:color="auto"/>
      </w:divBdr>
    </w:div>
    <w:div w:id="1120875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nvirobiomics.com/shopping" TargetMode="External"/><Relationship Id="rId18" Type="http://schemas.openxmlformats.org/officeDocument/2006/relationships/hyperlink" Target="https://www.ncbi.nlm.nih.gov/pubmed/?term=Ryan%252520JC%25255BAuthor%25255D&amp;cauthor=true&amp;cauthor_uid=25889530" TargetMode="External"/><Relationship Id="rId26" Type="http://schemas.openxmlformats.org/officeDocument/2006/relationships/hyperlink" Target="https://doi.org/10.3109/17482960903286009" TargetMode="External"/><Relationship Id="rId39" Type="http://schemas.openxmlformats.org/officeDocument/2006/relationships/hyperlink" Target="https://www.ncbi.nlm.nih.gov/pubmed/24186934" TargetMode="External"/><Relationship Id="rId21" Type="http://schemas.openxmlformats.org/officeDocument/2006/relationships/hyperlink" Target="http://dx.doi.org/10.1016/j.ijid.2013.01.008" TargetMode="External"/><Relationship Id="rId34" Type="http://schemas.openxmlformats.org/officeDocument/2006/relationships/hyperlink" Target="https://www.ncbi.nlm.nih.gov/pubmed/24330199" TargetMode="External"/><Relationship Id="rId42" Type="http://schemas.openxmlformats.org/officeDocument/2006/relationships/hyperlink" Target="https://www.ncbi.nlm.nih.gov/pubmed/22970361" TargetMode="External"/><Relationship Id="rId47" Type="http://schemas.openxmlformats.org/officeDocument/2006/relationships/hyperlink" Target="https://www.ncbi.nlm.nih.gov/pubmed/25140322" TargetMode="External"/><Relationship Id="rId50" Type="http://schemas.openxmlformats.org/officeDocument/2006/relationships/hyperlink" Target="https://www.ncbi.nlm.nih.gov/pubmed/12390971" TargetMode="External"/><Relationship Id="rId55" Type="http://schemas.openxmlformats.org/officeDocument/2006/relationships/hyperlink" Target="https://www.ncbi.nlm.nih.gov/pubmed/15164063" TargetMode="External"/><Relationship Id="rId63" Type="http://schemas.openxmlformats.org/officeDocument/2006/relationships/hyperlink" Target="https://www.ncbi.nlm.nih.gov/pubmed/18270493" TargetMode="External"/><Relationship Id="rId68" Type="http://schemas.openxmlformats.org/officeDocument/2006/relationships/hyperlink" Target="https://www.ncbi.nlm.nih.gov/pubmed/19140878" TargetMode="External"/><Relationship Id="rId76" Type="http://schemas.openxmlformats.org/officeDocument/2006/relationships/hyperlink" Target="https://www.ncbi.nlm.nih.gov/pubmed/23319874" TargetMode="External"/><Relationship Id="rId7" Type="http://schemas.openxmlformats.org/officeDocument/2006/relationships/header" Target="header1.xml"/><Relationship Id="rId71" Type="http://schemas.openxmlformats.org/officeDocument/2006/relationships/hyperlink" Target="https://www.ncbi.nlm.nih.gov/pubmed/28588585"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s://www.ncbi.nlm.nih.gov/pubmed/25889530" TargetMode="External"/><Relationship Id="rId11" Type="http://schemas.openxmlformats.org/officeDocument/2006/relationships/footer" Target="footer2.xml"/><Relationship Id="rId24" Type="http://schemas.openxmlformats.org/officeDocument/2006/relationships/hyperlink" Target="https://www.ncbi.nlm.nih.gov/pubmed/12144078" TargetMode="External"/><Relationship Id="rId32" Type="http://schemas.openxmlformats.org/officeDocument/2006/relationships/hyperlink" Target="https://www.ncbi.nlm.nih.gov/pubmed/15682636" TargetMode="External"/><Relationship Id="rId37" Type="http://schemas.openxmlformats.org/officeDocument/2006/relationships/hyperlink" Target="https://www.ncbi.nlm.nih.gov/pubmed/16888026" TargetMode="External"/><Relationship Id="rId40" Type="http://schemas.openxmlformats.org/officeDocument/2006/relationships/hyperlink" Target="https://www.ncbi.nlm.nih.gov/pubmed/27478294" TargetMode="External"/><Relationship Id="rId45" Type="http://schemas.openxmlformats.org/officeDocument/2006/relationships/hyperlink" Target="https://www.ncbi.nlm.nih.gov/pubmed/20617297" TargetMode="External"/><Relationship Id="rId53" Type="http://schemas.openxmlformats.org/officeDocument/2006/relationships/hyperlink" Target="https://www.ncbi.nlm.nih.gov/pubmed/20158611" TargetMode="External"/><Relationship Id="rId58" Type="http://schemas.openxmlformats.org/officeDocument/2006/relationships/hyperlink" Target="https://www.ncbi.nlm.nih.gov/pubmed/24982697" TargetMode="External"/><Relationship Id="rId66" Type="http://schemas.openxmlformats.org/officeDocument/2006/relationships/hyperlink" Target="https://www.ncbi.nlm.nih.gov/pubmed/27687891" TargetMode="External"/><Relationship Id="rId74" Type="http://schemas.openxmlformats.org/officeDocument/2006/relationships/hyperlink" Target="https://www.ncbi.nlm.nih.gov/pubmed/27175125" TargetMode="External"/><Relationship Id="rId79" Type="http://schemas.openxmlformats.org/officeDocument/2006/relationships/hyperlink" Target="https://www.ncbi.nlm.nih.gov/pubmed/12727925" TargetMode="External"/><Relationship Id="rId5" Type="http://schemas.openxmlformats.org/officeDocument/2006/relationships/footnotes" Target="footnotes.xml"/><Relationship Id="rId61" Type="http://schemas.openxmlformats.org/officeDocument/2006/relationships/hyperlink" Target="https://www.ncbi.nlm.nih.gov/pubmed/15206827" TargetMode="External"/><Relationship Id="rId10" Type="http://schemas.openxmlformats.org/officeDocument/2006/relationships/hyperlink" Target="http://www.survivingmold.com" TargetMode="External"/><Relationship Id="rId19" Type="http://schemas.openxmlformats.org/officeDocument/2006/relationships/hyperlink" Target="https://www.ncbi.nlm.nih.gov/pubmed/?term=Wu%252520Q%25255BAuthor%25255D&amp;cauthor=true&amp;cauthor_uid=25889530" TargetMode="External"/><Relationship Id="rId31" Type="http://schemas.openxmlformats.org/officeDocument/2006/relationships/hyperlink" Target="https://www.ncbi.nlm.nih.gov/pubmed/15265532" TargetMode="External"/><Relationship Id="rId44" Type="http://schemas.openxmlformats.org/officeDocument/2006/relationships/hyperlink" Target="https://www.ncbi.nlm.nih.gov/pubmed/20198122" TargetMode="External"/><Relationship Id="rId52" Type="http://schemas.openxmlformats.org/officeDocument/2006/relationships/hyperlink" Target="https://www.ncbi.nlm.nih.gov/pubmed/24610033" TargetMode="External"/><Relationship Id="rId60" Type="http://schemas.openxmlformats.org/officeDocument/2006/relationships/hyperlink" Target="https://www.ncbi.nlm.nih.gov/pubmed/19174516" TargetMode="External"/><Relationship Id="rId65" Type="http://schemas.openxmlformats.org/officeDocument/2006/relationships/hyperlink" Target="https://www.ncbi.nlm.nih.gov/pubmed/16476048" TargetMode="External"/><Relationship Id="rId73" Type="http://schemas.openxmlformats.org/officeDocument/2006/relationships/hyperlink" Target="https://www.ncbi.nlm.nih.gov/pubmed/10482292" TargetMode="External"/><Relationship Id="rId78" Type="http://schemas.openxmlformats.org/officeDocument/2006/relationships/hyperlink" Target="https://www.ncbi.nlm.nih.gov/pubmed/22029026"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survivingmold.com" TargetMode="External"/><Relationship Id="rId22" Type="http://schemas.openxmlformats.org/officeDocument/2006/relationships/hyperlink" Target="https://www.ncbi.nlm.nih.gov/pubmed/?term=Collier%20DN%5BAuthor%5D&amp;cauthor=true&amp;cauthor_uid=12144078" TargetMode="External"/><Relationship Id="rId27" Type="http://schemas.openxmlformats.org/officeDocument/2006/relationships/hyperlink" Target="http://www.ncbi.nlm.nih.gov/books/NBK27090/" TargetMode="External"/><Relationship Id="rId30" Type="http://schemas.openxmlformats.org/officeDocument/2006/relationships/hyperlink" Target="https://www.ncbi.nlm.nih.gov/pubmed/17186031" TargetMode="External"/><Relationship Id="rId35" Type="http://schemas.openxmlformats.org/officeDocument/2006/relationships/hyperlink" Target="https://www.ncbi.nlm.nih.gov/pubmed/16102938" TargetMode="External"/><Relationship Id="rId43" Type="http://schemas.openxmlformats.org/officeDocument/2006/relationships/hyperlink" Target="https://www.ncbi.nlm.nih.gov/pubmed/17010568" TargetMode="External"/><Relationship Id="rId48" Type="http://schemas.openxmlformats.org/officeDocument/2006/relationships/hyperlink" Target="https://www.ncbi.nlm.nih.gov/pubmed/11154224" TargetMode="External"/><Relationship Id="rId56" Type="http://schemas.openxmlformats.org/officeDocument/2006/relationships/hyperlink" Target="https://www.ncbi.nlm.nih.gov/pubmed/24946038" TargetMode="External"/><Relationship Id="rId64" Type="http://schemas.openxmlformats.org/officeDocument/2006/relationships/hyperlink" Target="https://www.ncbi.nlm.nih.gov/pubmed/20335310" TargetMode="External"/><Relationship Id="rId69" Type="http://schemas.openxmlformats.org/officeDocument/2006/relationships/hyperlink" Target="https://www.ncbi.nlm.nih.gov/pubmed/21941624" TargetMode="External"/><Relationship Id="rId77" Type="http://schemas.openxmlformats.org/officeDocument/2006/relationships/hyperlink" Target="https://www.ncbi.nlm.nih.gov/pubmed/16498364" TargetMode="External"/><Relationship Id="rId8" Type="http://schemas.openxmlformats.org/officeDocument/2006/relationships/header" Target="header2.xml"/><Relationship Id="rId51" Type="http://schemas.openxmlformats.org/officeDocument/2006/relationships/hyperlink" Target="https://www.ncbi.nlm.nih.gov/books/NBK53380/" TargetMode="External"/><Relationship Id="rId72" Type="http://schemas.openxmlformats.org/officeDocument/2006/relationships/hyperlink" Target="https://www.ncbi.nlm.nih.gov/pubmed/18516271"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mycometrics.com/online.html" TargetMode="External"/><Relationship Id="rId17" Type="http://schemas.openxmlformats.org/officeDocument/2006/relationships/hyperlink" Target="http://www.survivingmold.com" TargetMode="External"/><Relationship Id="rId25" Type="http://schemas.openxmlformats.org/officeDocument/2006/relationships/hyperlink" Target="https://nationallakesassessment.epa.gov/" TargetMode="External"/><Relationship Id="rId33" Type="http://schemas.openxmlformats.org/officeDocument/2006/relationships/hyperlink" Target="https://www.ncbi.nlm.nih.gov/pubmed/25384766" TargetMode="External"/><Relationship Id="rId38" Type="http://schemas.openxmlformats.org/officeDocument/2006/relationships/hyperlink" Target="https://www.ncbi.nlm.nih.gov/pubmed/27323783" TargetMode="External"/><Relationship Id="rId46" Type="http://schemas.openxmlformats.org/officeDocument/2006/relationships/hyperlink" Target="https://www.ncbi.nlm.nih.gov/pubmed/23685313" TargetMode="External"/><Relationship Id="rId59" Type="http://schemas.openxmlformats.org/officeDocument/2006/relationships/hyperlink" Target="https://www.ncbi.nlm.nih.gov/pubmed/22802287" TargetMode="External"/><Relationship Id="rId67" Type="http://schemas.openxmlformats.org/officeDocument/2006/relationships/hyperlink" Target="https://www.ncbi.nlm.nih.gov/pubmed/15367216" TargetMode="External"/><Relationship Id="rId20" Type="http://schemas.openxmlformats.org/officeDocument/2006/relationships/hyperlink" Target="https://www.ncbi.nlm.nih.gov/pubmed/?term=Shoemaker%252520RC%25255BAuthor%25255D&amp;cauthor=true&amp;cauthor_uid=25889530" TargetMode="External"/><Relationship Id="rId41" Type="http://schemas.openxmlformats.org/officeDocument/2006/relationships/hyperlink" Target="https://www.ncbi.nlm.nih.gov/pubmed/19667757" TargetMode="External"/><Relationship Id="rId54" Type="http://schemas.openxmlformats.org/officeDocument/2006/relationships/hyperlink" Target="https://www.ncbi.nlm.nih.gov/pubmed/10880384" TargetMode="External"/><Relationship Id="rId62" Type="http://schemas.openxmlformats.org/officeDocument/2006/relationships/hyperlink" Target="https://www.ncbi.nlm.nih.gov/pubmed/22566904" TargetMode="External"/><Relationship Id="rId70" Type="http://schemas.openxmlformats.org/officeDocument/2006/relationships/hyperlink" Target="https://www.ncbi.nlm.nih.gov/pubmed/21741932" TargetMode="External"/><Relationship Id="rId75" Type="http://schemas.openxmlformats.org/officeDocument/2006/relationships/hyperlink" Target="https://www.ncbi.nlm.nih.gov/pubmed/2174305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urvivingmold.com" TargetMode="External"/><Relationship Id="rId23" Type="http://schemas.openxmlformats.org/officeDocument/2006/relationships/hyperlink" Target="https://www.ncbi.nlm.nih.gov/pubmed/?term=Burke%20WA%5BAuthor%5D&amp;cauthor=true&amp;cauthor_uid=12144078" TargetMode="External"/><Relationship Id="rId28" Type="http://schemas.openxmlformats.org/officeDocument/2006/relationships/hyperlink" Target="https://www.ncbi.nlm.nih.gov/pubmed/19366914" TargetMode="External"/><Relationship Id="rId36" Type="http://schemas.openxmlformats.org/officeDocument/2006/relationships/hyperlink" Target="https://doi.org/10.1093/intimm/dxl068" TargetMode="External"/><Relationship Id="rId49" Type="http://schemas.openxmlformats.org/officeDocument/2006/relationships/hyperlink" Target="https://www.ncbi.nlm.nih.gov/pubmed/8939476" TargetMode="External"/><Relationship Id="rId57" Type="http://schemas.openxmlformats.org/officeDocument/2006/relationships/hyperlink" Target="https://www.ncbi.nlm.nih.gov/pubmed/16815840"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21989</Words>
  <Characters>125340</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ritchie shoemaker</dc:creator>
  <cp:lastModifiedBy>ritchie shoemaker</cp:lastModifiedBy>
  <cp:revision>2</cp:revision>
  <cp:lastPrinted>2018-03-22T19:11:00Z</cp:lastPrinted>
  <dcterms:created xsi:type="dcterms:W3CDTF">2019-09-29T14:34:00Z</dcterms:created>
  <dcterms:modified xsi:type="dcterms:W3CDTF">2019-09-29T14:34:00Z</dcterms:modified>
</cp:coreProperties>
</file>